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drawing>
          <wp:inline distT="0" distB="0" distL="0" distR="0">
            <wp:extent cx="5905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666750"/>
                    </a:xfrm>
                    <a:prstGeom prst="rect">
                      <a:avLst/>
                    </a:prstGeom>
                  </pic:spPr>
                </pic:pic>
              </a:graphicData>
            </a:graphic>
          </wp:inline>
        </w:drawing>
      </w:r>
    </w:p>
    <w:p>
      <w:pPr>
        <w:spacing w:after="100" w:before="60"/>
        <w:jc w:val="center"/>
      </w:pPr>
      <w:r>
        <w:rPr>
          <w:rFonts w:ascii="Times New Roman" w:cs="Times New Roman" w:eastAsia="Times New Roman" w:hAnsi="Times New Roman"/>
          <w:i/>
          <w:iCs/>
          <w:color w:val="2E2E2E"/>
          <w:sz w:val="18"/>
          <w:szCs w:val="18"/>
        </w:rPr>
        <w:t xml:space="preserve">Volume 2026  |  Number 257  |  Tuesday, September 15, 2026  |  Est. 1887  |  ¥350</w:t>
      </w:r>
    </w:p>
    <w:p>
      <w:pPr>
        <w:pBdr>
          <w:bottom w:val="double" w:color="0D1B2A" w:sz="6"/>
        </w:pBdr>
        <w:spacing w:after="100" w:before="0"/>
        <w:jc w:val="center"/>
      </w:pPr>
      <w:r>
        <w:rPr>
          <w:rFonts w:ascii="Helvetica" w:cs="Helvetica" w:eastAsia="Helvetica" w:hAnsi="Helvetica"/>
          <w:i/>
          <w:iCs/>
          <w:color w:val="888888"/>
          <w:sz w:val="16"/>
          <w:szCs w:val="16"/>
        </w:rPr>
        <w:t xml:space="preserve">Owner: Paul Carter  |  Publisher: WPM Productions  |  Managing Editor: Dixon Yan  |  Senior Editor: Jonathan Mercer</w:t>
      </w:r>
    </w:p>
    <w:p>
      <w:pPr>
        <w:spacing w:after="100" w:before="0"/>
        <w:jc w:val="center"/>
      </w:pPr>
      <w:r>
        <w:rPr>
          <w:rFonts w:ascii="Helvetica" w:cs="Helvetica" w:eastAsia="Helvetica" w:hAnsi="Helvetica"/>
          <w:i/>
          <w:iCs/>
          <w:color w:val="888888"/>
          <w:sz w:val="18"/>
          <w:szCs w:val="18"/>
        </w:rPr>
        <w:t xml:space="preserve">This DOCX edition is provided for in-house editing. It contains the complete text of every article, the weather report, and the crossword clue list from today’s print and PDF editions, in reading order by section.</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POLITICS —</w:t>
      </w:r>
    </w:p>
    <w:p>
      <w:pPr>
        <w:pBdr>
          <w:top w:val="thick" w:color="9B1B2A" w:sz="18"/>
        </w:pBdr>
        <w:spacing w:after="80" w:before="160"/>
      </w:pPr>
      <w:r>
        <w:rPr>
          <w:rFonts w:ascii="Times New Roman" w:cs="Times New Roman" w:eastAsia="Times New Roman" w:hAnsi="Times New Roman"/>
          <w:b/>
          <w:bCs/>
          <w:color w:val="0D1B2A"/>
          <w:sz w:val="40"/>
          <w:szCs w:val="40"/>
        </w:rPr>
        <w:t xml:space="preserve">Chubu Electric Chiefs Quit, Hamaoka Restart Bid Withdrawn Over Falsified Data</w:t>
      </w:r>
    </w:p>
    <w:p>
      <w:pPr>
        <w:spacing w:after="40" w:before="40"/>
      </w:pPr>
      <w:r>
        <w:rPr>
          <w:rFonts w:ascii="Times New Roman" w:cs="Times New Roman" w:eastAsia="Times New Roman" w:hAnsi="Times New Roman"/>
          <w:i/>
          <w:iCs/>
          <w:color w:val="9B1B2A"/>
          <w:sz w:val="22"/>
          <w:szCs w:val="22"/>
        </w:rPr>
        <w:t xml:space="preserve">An internal committee found 208 seismic readings handled improperly and traced the failure to a company culture its own investigators summed up as a conviction that "we are right"</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Chubu Electric Power's president and chairman both resigned to take responsibility for falsified seismic motion data, and the company withdrew its application for the safety review that would have cleared the way to restart the Hamaoka Nuclear Power Plant, according to front-page reports in Yomiuri Shimbun and Asahi Shimbun.</w:t>
      </w:r>
    </w:p>
    <w:p>
      <w:pPr>
        <w:spacing w:after="120" w:before="0" w:line="300"/>
        <w:jc w:val="both"/>
      </w:pPr>
      <w:r>
        <w:rPr>
          <w:rFonts w:ascii="Times New Roman" w:cs="Times New Roman" w:eastAsia="Times New Roman" w:hAnsi="Times New Roman"/>
          <w:color w:val="2E2E2E"/>
          <w:sz w:val="22"/>
          <w:szCs w:val="22"/>
        </w:rPr>
        <w:t xml:space="preserve">The withdrawal ends, for now, a restart bid that had been working its way through Japan's post-2011 regulatory machinery, and it does so on the least favorable terms available to a utility: not because the regulator found the plant unsafe, but because the company could no longer vouch for the numbers it had submitted.</w:t>
      </w:r>
    </w:p>
    <w:p>
      <w:pPr>
        <w:spacing w:after="120" w:before="0" w:line="300"/>
        <w:jc w:val="both"/>
      </w:pPr>
      <w:r>
        <w:rPr>
          <w:rFonts w:ascii="Times New Roman" w:cs="Times New Roman" w:eastAsia="Times New Roman" w:hAnsi="Times New Roman"/>
          <w:color w:val="2E2E2E"/>
          <w:sz w:val="22"/>
          <w:szCs w:val="22"/>
        </w:rPr>
        <w:t xml:space="preserve">An internal investigation committee report reviewed by Yomiuri Shimbun put the scale of the problem at 208 cases in which seismic motion data were deemed to have been handled inappropriately. That figure moves the matter well past the category of isolated clerical error and into something closer to a systemic breakdown in how the company generated and checked its own safety inputs.</w:t>
      </w:r>
    </w:p>
    <w:p>
      <w:pPr>
        <w:spacing w:after="120" w:before="0" w:line="300"/>
        <w:jc w:val="both"/>
      </w:pPr>
      <w:r>
        <w:rPr>
          <w:rFonts w:ascii="Times New Roman" w:cs="Times New Roman" w:eastAsia="Times New Roman" w:hAnsi="Times New Roman"/>
          <w:color w:val="2E2E2E"/>
          <w:sz w:val="22"/>
          <w:szCs w:val="22"/>
        </w:rPr>
        <w:t xml:space="preserve">The committee's account of why is the part likely to be read most closely inside other utilities. It described a workplace culture marked by a settled conviction that the company was right, a mindset that left little room for staff to flag data that did not fit expectations. Against that backdrop, management reprimands over delays in the review process applied pressure to the field, to the engineers and analysts whose job was to produce the readings in the first place.</w:t>
      </w:r>
    </w:p>
    <w:p>
      <w:pPr>
        <w:spacing w:after="120" w:before="0" w:line="300"/>
        <w:jc w:val="both"/>
      </w:pPr>
      <w:r>
        <w:rPr>
          <w:rFonts w:ascii="Times New Roman" w:cs="Times New Roman" w:eastAsia="Times New Roman" w:hAnsi="Times New Roman"/>
          <w:color w:val="2E2E2E"/>
          <w:sz w:val="22"/>
          <w:szCs w:val="22"/>
        </w:rPr>
        <w:t xml:space="preserve">That combination, an institutional certainty that the answer is already known plus scheduling pressure from above, is a familiar shape to anyone who has read the post-mortems of industrial safety failures elsewhere. It rarely requires anyone to decide to falsify anything. It requires only that inconvenient data become costly to report.</w:t>
      </w:r>
    </w:p>
    <w:p>
      <w:pPr>
        <w:spacing w:after="120" w:before="0" w:line="300"/>
        <w:jc w:val="both"/>
      </w:pPr>
      <w:r>
        <w:rPr>
          <w:rFonts w:ascii="Times New Roman" w:cs="Times New Roman" w:eastAsia="Times New Roman" w:hAnsi="Times New Roman"/>
          <w:color w:val="2E2E2E"/>
          <w:sz w:val="22"/>
          <w:szCs w:val="22"/>
        </w:rPr>
        <w:t xml:space="preserve">The immediate regulatory consequence is straightforward. With the application withdrawn, Hamaoka is not restarting on any near timeline, and Chubu Electric now faces the considerably slower task of rebuilding the credibility of every dataset it eventually resubmits.</w:t>
      </w:r>
    </w:p>
    <w:p>
      <w:pPr>
        <w:spacing w:after="120" w:before="0" w:line="300"/>
        <w:jc w:val="both"/>
      </w:pPr>
      <w:r>
        <w:rPr>
          <w:rFonts w:ascii="Times New Roman" w:cs="Times New Roman" w:eastAsia="Times New Roman" w:hAnsi="Times New Roman"/>
          <w:color w:val="2E2E2E"/>
          <w:sz w:val="22"/>
          <w:szCs w:val="22"/>
        </w:rPr>
        <w:t xml:space="preserve">The commercial consequence reaches further than one company. Analysts quoted in Yomiuri Shimbun and Asahi Shimbun expect the prospect of nuclear restarts generally to recede, and with it the electricity price reductions that restarts were expected to enable. A utility's data scandal thus arrives, awkwardly, as a household cost story.</w:t>
      </w:r>
    </w:p>
    <w:p>
      <w:pPr>
        <w:spacing w:after="120" w:before="0" w:line="300"/>
        <w:jc w:val="both"/>
      </w:pPr>
      <w:r>
        <w:rPr>
          <w:rFonts w:ascii="Times New Roman" w:cs="Times New Roman" w:eastAsia="Times New Roman" w:hAnsi="Times New Roman"/>
          <w:color w:val="2E2E2E"/>
          <w:sz w:val="22"/>
          <w:szCs w:val="22"/>
        </w:rPr>
        <w:t xml:space="preserve">It also lands in a week when energy prices are already the dominant market variable. Crude has held above $100 a barrel, Saudi Arabia's East-West pipeline is expected to need three to five weeks to restore, and Japan imports nearly all of the fossil fuel it burns in the plants that idle nuclear capacity leaves running.</w:t>
      </w:r>
    </w:p>
    <w:p>
      <w:pPr>
        <w:spacing w:after="120" w:before="0" w:line="300"/>
        <w:jc w:val="both"/>
      </w:pPr>
      <w:r>
        <w:rPr>
          <w:rFonts w:ascii="Times New Roman" w:cs="Times New Roman" w:eastAsia="Times New Roman" w:hAnsi="Times New Roman"/>
          <w:color w:val="2E2E2E"/>
          <w:sz w:val="22"/>
          <w:szCs w:val="22"/>
        </w:rPr>
        <w:t xml:space="preserve">Neither resignation was accompanied by a detailed public account of who knew what and when. The committee report's findings on culture and pressure describe the conditions in which the falsification occurred without yet naming the decision points that allowed 208 individual cases to accumulate.</w:t>
      </w:r>
    </w:p>
    <w:p>
      <w:pPr>
        <w:spacing w:after="120" w:before="0" w:line="300"/>
        <w:jc w:val="both"/>
      </w:pPr>
      <w:r>
        <w:rPr>
          <w:rFonts w:ascii="Times New Roman" w:cs="Times New Roman" w:eastAsia="Times New Roman" w:hAnsi="Times New Roman"/>
          <w:color w:val="2E2E2E"/>
          <w:sz w:val="22"/>
          <w:szCs w:val="22"/>
        </w:rPr>
        <w:t xml:space="preserve">For the regulator, the episode is a validation of the verification-heavy architecture built after 2011 and, simultaneously, an argument that the architecture is doing more work than it should have to. A review system designed on the assumption that utility self-reporting cannot simply be trusted has now caught a case proving exactly that.</w:t>
      </w:r>
    </w:p>
    <w:p>
      <w:pPr>
        <w:spacing w:after="120" w:before="0" w:line="300"/>
        <w:jc w:val="both"/>
      </w:pPr>
      <w:r>
        <w:rPr>
          <w:rFonts w:ascii="Times New Roman" w:cs="Times New Roman" w:eastAsia="Times New Roman" w:hAnsi="Times New Roman"/>
          <w:color w:val="2E2E2E"/>
          <w:sz w:val="22"/>
          <w:szCs w:val="22"/>
        </w:rPr>
        <w:t xml:space="preserve">Successor appointments had not been announced as of Tuesday morning. Whoever takes over inherits a restart programme without an application, a workforce whose reporting culture has been publicly indicted by its own employer, and a regulator with fresh reason to check everything twice.</w:t>
      </w:r>
    </w:p>
    <w:p>
      <w:pPr>
        <w:spacing w:after="120" w:before="0" w:line="300"/>
        <w:jc w:val="both"/>
      </w:pPr>
      <w:r>
        <w:rPr>
          <w:rFonts w:ascii="Times New Roman" w:cs="Times New Roman" w:eastAsia="Times New Roman" w:hAnsi="Times New Roman"/>
          <w:color w:val="2E2E2E"/>
          <w:sz w:val="22"/>
          <w:szCs w:val="22"/>
        </w:rPr>
        <w:t xml:space="preserve">Hamaoka's location is part of what has made its restart application unusually contentious. The plant sits on the Pacific coast of Shizuoka Prefecture, within the zone seismologists associate with an anticipated Nankai Trough event, which is precisely why the quality of its seismic motion assessments carries weight that comparable data at an inland site would not.</w:t>
      </w:r>
    </w:p>
    <w:p>
      <w:pPr>
        <w:spacing w:after="120" w:before="0" w:line="300"/>
        <w:jc w:val="both"/>
      </w:pPr>
      <w:r>
        <w:rPr>
          <w:rFonts w:ascii="Times New Roman" w:cs="Times New Roman" w:eastAsia="Times New Roman" w:hAnsi="Times New Roman"/>
          <w:color w:val="2E2E2E"/>
          <w:sz w:val="22"/>
          <w:szCs w:val="22"/>
        </w:rPr>
        <w:t xml:space="preserve">That geography explains why the falsified category matters so specifically. Seismic motion data feeds the design-basis ground motion calculation, the figure that determines what forces a plant's structures and safety systems must be built to withstand. Corrupting that input does not merely misstate a risk. It misstates the specification everything else is measured against.</w:t>
      </w:r>
    </w:p>
    <w:p>
      <w:pPr>
        <w:spacing w:after="120" w:before="0" w:line="300"/>
        <w:jc w:val="both"/>
      </w:pPr>
      <w:r>
        <w:rPr>
          <w:rFonts w:ascii="Times New Roman" w:cs="Times New Roman" w:eastAsia="Times New Roman" w:hAnsi="Times New Roman"/>
          <w:color w:val="2E2E2E"/>
          <w:sz w:val="22"/>
          <w:szCs w:val="22"/>
        </w:rPr>
        <w:t xml:space="preserve">Chubu Electric had already invested heavily in the physical case for Hamaoka, constructing a seawall along the site's coastal frontage after 2011 and upgrading backup power and cooling arrangements. Those works addressed the tsunami failure mode that destroyed Fukushima Daiichi. They do not address a failure of the data on which the rest of the safety case rests.</w:t>
      </w:r>
    </w:p>
    <w:p>
      <w:pPr>
        <w:spacing w:after="120" w:before="0" w:line="300"/>
        <w:jc w:val="both"/>
      </w:pPr>
      <w:r>
        <w:rPr>
          <w:rFonts w:ascii="Times New Roman" w:cs="Times New Roman" w:eastAsia="Times New Roman" w:hAnsi="Times New Roman"/>
          <w:color w:val="2E2E2E"/>
          <w:sz w:val="22"/>
          <w:szCs w:val="22"/>
        </w:rPr>
        <w:t xml:space="preserve">For the Nuclear Regulation Authority, created after 2011 precisely because the previous arrangement had left regulator and industry too close, the case is an uncomfortable validation. The verification requirements that critics have called excessive are the reason the falsification surfaced before an approval rather than after one.</w:t>
      </w:r>
    </w:p>
    <w:p>
      <w:pPr>
        <w:spacing w:after="120" w:before="0" w:line="300"/>
        <w:jc w:val="both"/>
      </w:pPr>
      <w:r>
        <w:rPr>
          <w:rFonts w:ascii="Times New Roman" w:cs="Times New Roman" w:eastAsia="Times New Roman" w:hAnsi="Times New Roman"/>
          <w:color w:val="2E2E2E"/>
          <w:sz w:val="22"/>
          <w:szCs w:val="22"/>
        </w:rPr>
        <w:t xml:space="preserve">Neither the committee report nor the company has yet explained how 208 separate instances passed through whatever internal checks existed. A culture finding describes the conditions that allow errors to persist; it does not identify the control points that failed to catch them.</w:t>
      </w:r>
    </w:p>
    <w:p>
      <w:pPr>
        <w:spacing w:after="120" w:before="0" w:line="300"/>
        <w:jc w:val="both"/>
      </w:pPr>
      <w:r>
        <w:rPr>
          <w:rFonts w:ascii="Times New Roman" w:cs="Times New Roman" w:eastAsia="Times New Roman" w:hAnsi="Times New Roman"/>
          <w:color w:val="2E2E2E"/>
          <w:sz w:val="22"/>
          <w:szCs w:val="22"/>
        </w:rPr>
        <w:t xml:space="preserve">Seismic motion assessment is not a single measurement but a chain of them. Ground surveys establish the geology beneath a site, historical and instrumental records establish what the region has produced before, and modelling converts both into the design-basis figure a plant must withstand. A fault introduced anywhere in that chain propagates through everything downstream.</w:t>
      </w:r>
    </w:p>
    <w:p>
      <w:pPr>
        <w:spacing w:after="120" w:before="0" w:line="300"/>
        <w:jc w:val="both"/>
      </w:pPr>
      <w:r>
        <w:rPr>
          <w:rFonts w:ascii="Times New Roman" w:cs="Times New Roman" w:eastAsia="Times New Roman" w:hAnsi="Times New Roman"/>
          <w:color w:val="2E2E2E"/>
          <w:sz w:val="22"/>
          <w:szCs w:val="22"/>
        </w:rPr>
        <w:t xml:space="preserve">That is why the count of 208 matters more than the word falsification alone conveys. A single altered reading is an error. Two hundred and eight is a working practice, sustained over time, across enough separate instances that no plausible account of it involves one person acting once.</w:t>
      </w:r>
    </w:p>
    <w:p>
      <w:pPr>
        <w:spacing w:after="120" w:before="0" w:line="300"/>
        <w:jc w:val="both"/>
      </w:pPr>
      <w:r>
        <w:rPr>
          <w:rFonts w:ascii="Times New Roman" w:cs="Times New Roman" w:eastAsia="Times New Roman" w:hAnsi="Times New Roman"/>
          <w:color w:val="2E2E2E"/>
          <w:sz w:val="22"/>
          <w:szCs w:val="22"/>
        </w:rPr>
        <w:t xml:space="preserve">Chubu Electric is not a marginal operator. It supplies electricity to a region built around Nagoya and the industrial base surrounding it, among the most energy-intensive manufacturing concentrations in the country, which gives the company's generation mix consequences that extend well past its own shareholders.</w:t>
      </w:r>
    </w:p>
    <w:p>
      <w:pPr>
        <w:spacing w:after="120" w:before="0" w:line="300"/>
        <w:jc w:val="both"/>
      </w:pPr>
      <w:r>
        <w:rPr>
          <w:rFonts w:ascii="Times New Roman" w:cs="Times New Roman" w:eastAsia="Times New Roman" w:hAnsi="Times New Roman"/>
          <w:color w:val="2E2E2E"/>
          <w:sz w:val="22"/>
          <w:szCs w:val="22"/>
        </w:rPr>
        <w:t xml:space="preserve">The company had positioned Hamaoka as central to its decarbonisation and cost planning, and the restart application represented years of preparatory work, physical modification and regulatory engagement. Withdrawing it forfeits that investment rather than deferring it, since a resubmission will begin from a position of diminished credibility rather than from where this application left off.</w:t>
      </w:r>
    </w:p>
    <w:p>
      <w:pPr>
        <w:spacing w:after="120" w:before="0" w:line="300"/>
        <w:jc w:val="both"/>
      </w:pPr>
      <w:r>
        <w:rPr>
          <w:rFonts w:ascii="Times New Roman" w:cs="Times New Roman" w:eastAsia="Times New Roman" w:hAnsi="Times New Roman"/>
          <w:color w:val="2E2E2E"/>
          <w:sz w:val="22"/>
          <w:szCs w:val="22"/>
        </w:rPr>
        <w:t xml:space="preserve">The Nuclear Regulation Authority now faces a question it has not had to answer at this scale: what a utility must demonstrate to have its data trusted again. There is no established remedy, because the post-2011 framework was designed to prevent this rather than to rehabilitate a company that had done it.</w:t>
      </w:r>
    </w:p>
    <w:p>
      <w:pPr>
        <w:spacing w:after="120" w:before="0" w:line="300"/>
        <w:jc w:val="both"/>
      </w:pPr>
      <w:r>
        <w:rPr>
          <w:rFonts w:ascii="Times New Roman" w:cs="Times New Roman" w:eastAsia="Times New Roman" w:hAnsi="Times New Roman"/>
          <w:color w:val="2E2E2E"/>
          <w:sz w:val="22"/>
          <w:szCs w:val="22"/>
        </w:rPr>
        <w:t xml:space="preserve">Comparable cases elsewhere suggest the answer involves independent verification of resubmitted work, extended monitoring of internal processes and, frequently, external personnel placed within the organisation. Each of those adds time measured in years rather than months.</w:t>
      </w:r>
    </w:p>
    <w:p>
      <w:pPr>
        <w:spacing w:after="120" w:before="0" w:line="300"/>
        <w:jc w:val="both"/>
      </w:pPr>
      <w:r>
        <w:rPr>
          <w:rFonts w:ascii="Times New Roman" w:cs="Times New Roman" w:eastAsia="Times New Roman" w:hAnsi="Times New Roman"/>
          <w:color w:val="2E2E2E"/>
          <w:sz w:val="22"/>
          <w:szCs w:val="22"/>
        </w:rPr>
        <w:t xml:space="preserve">Local consent presents a separate obstacle that regulatory approval does not resolve. Restarts require agreement from host municipalities and prefectures, and Shizuoka's political position on Hamaoka was already cautious before a falsification case gave opponents a documented grievance.</w:t>
      </w:r>
    </w:p>
    <w:p>
      <w:pPr>
        <w:spacing w:after="120" w:before="0" w:line="300"/>
        <w:jc w:val="both"/>
      </w:pPr>
      <w:r>
        <w:rPr>
          <w:rFonts w:ascii="Times New Roman" w:cs="Times New Roman" w:eastAsia="Times New Roman" w:hAnsi="Times New Roman"/>
          <w:color w:val="2E2E2E"/>
          <w:sz w:val="22"/>
          <w:szCs w:val="22"/>
        </w:rPr>
        <w:t xml:space="preserve">Employees at the plant occupy an uncomfortable position in all of this. The committee's findings describe pressure applied from above onto the field, which locates the origin of the failure in management practice while leaving the staff who produced the readings carrying its professional consequences.</w:t>
      </w:r>
    </w:p>
    <w:p>
      <w:pPr>
        <w:spacing w:after="200" w:before="40"/>
        <w:jc w:val="right"/>
      </w:pPr>
      <w:r>
        <w:rPr>
          <w:rFonts w:ascii="Helvetica" w:cs="Helvetica" w:eastAsia="Helvetica" w:hAnsi="Helvetica"/>
          <w:i/>
          <w:iCs/>
          <w:color w:val="888888"/>
          <w:sz w:val="16"/>
          <w:szCs w:val="16"/>
        </w:rPr>
        <w:t xml:space="preserve">[1,211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Koja Takes Office in Okinawa as Development Budget Is Adjusted Upward</w:t>
      </w:r>
    </w:p>
    <w:p>
      <w:pPr>
        <w:pBdr>
          <w:bottom w:val="single" w:color="CCCCCC" w:sz="4"/>
        </w:pBdr>
        <w:spacing w:after="120" w:before="40"/>
      </w:pPr>
      <w:r>
        <w:rPr>
          <w:rFonts w:ascii="Helvetica" w:cs="Helvetica" w:eastAsia="Helvetica" w:hAnsi="Helvetica"/>
          <w:i/>
          <w:iCs/>
          <w:color w:val="888888"/>
          <w:sz w:val="18"/>
          <w:szCs w:val="18"/>
        </w:rPr>
        <w:t xml:space="preserve">By Aiko Tanaka | Senior Japan Correspondent, Tokyo Bureau</w:t>
      </w:r>
    </w:p>
    <w:p>
      <w:pPr>
        <w:spacing w:after="120" w:before="0" w:line="300"/>
        <w:jc w:val="both"/>
      </w:pPr>
      <w:r>
        <w:rPr>
          <w:rFonts w:ascii="Times New Roman" w:cs="Times New Roman" w:eastAsia="Times New Roman" w:hAnsi="Times New Roman"/>
          <w:color w:val="2E2E2E"/>
          <w:sz w:val="22"/>
          <w:szCs w:val="22"/>
        </w:rPr>
        <w:t xml:space="preserve">Genta Koja becomes Governor of Okinawa Prefecture after a decisive win over incumbent Denny Tamaki, installing the first Liberal Democratic Party-affiliated prefectural government in twelve years and, with it, a governor who accepts the Henoko relocation rather than contesting it.</w:t>
      </w:r>
    </w:p>
    <w:p>
      <w:pPr>
        <w:spacing w:after="120" w:before="0" w:line="300"/>
        <w:jc w:val="both"/>
      </w:pPr>
      <w:r>
        <w:rPr>
          <w:rFonts w:ascii="Times New Roman" w:cs="Times New Roman" w:eastAsia="Times New Roman" w:hAnsi="Times New Roman"/>
          <w:color w:val="2E2E2E"/>
          <w:sz w:val="22"/>
          <w:szCs w:val="22"/>
        </w:rPr>
        <w:t xml:space="preserve">Reports carried by Kyodo News indicate the Okinawa development budget is being adjusted upward to exceed 300 billion yen, an adjustment that follows the election of a governor aligned with Tokyo on the base question and that supporters and critics will read in opposite directions with equal conviction.</w:t>
      </w:r>
    </w:p>
    <w:p>
      <w:pPr>
        <w:spacing w:after="120" w:before="0" w:line="300"/>
        <w:jc w:val="both"/>
      </w:pPr>
      <w:r>
        <w:rPr>
          <w:rFonts w:ascii="Times New Roman" w:cs="Times New Roman" w:eastAsia="Times New Roman" w:hAnsi="Times New Roman"/>
          <w:color w:val="2E2E2E"/>
          <w:sz w:val="22"/>
          <w:szCs w:val="22"/>
        </w:rPr>
        <w:t xml:space="preserve">To the new administration and its backers, a larger development budget is the practical dividend of ending twelve years of confrontation, money that flows more easily when prefecture and central government are not litigating each other. To the outgoing coalition, the timing invites a blunter reading about what cooperation purchases.</w:t>
      </w:r>
    </w:p>
    <w:p>
      <w:pPr>
        <w:spacing w:after="120" w:before="0" w:line="300"/>
        <w:jc w:val="both"/>
      </w:pPr>
      <w:r>
        <w:rPr>
          <w:rFonts w:ascii="Times New Roman" w:cs="Times New Roman" w:eastAsia="Times New Roman" w:hAnsi="Times New Roman"/>
          <w:color w:val="2E2E2E"/>
          <w:sz w:val="22"/>
          <w:szCs w:val="22"/>
        </w:rPr>
        <w:t xml:space="preserve">Exit polling reported by Yomiuri Shimbun found strong support for Koja among younger voters, with the clearest signal being a judgment that the economy matters more than the base issue. That is the sentence that explains the result better than any single campaign moment.</w:t>
      </w:r>
    </w:p>
    <w:p>
      <w:pPr>
        <w:spacing w:after="120" w:before="0" w:line="300"/>
        <w:jc w:val="both"/>
      </w:pPr>
      <w:r>
        <w:rPr>
          <w:rFonts w:ascii="Times New Roman" w:cs="Times New Roman" w:eastAsia="Times New Roman" w:hAnsi="Times New Roman"/>
          <w:color w:val="2E2E2E"/>
          <w:sz w:val="22"/>
          <w:szCs w:val="22"/>
        </w:rPr>
        <w:t xml:space="preserve">The generational split matters because it points past this election. A voter who ranks wages and prices above Futenma's runway in 2026 is unlikely to reorder those priorities merely because a new governor has been sworn in.</w:t>
      </w:r>
    </w:p>
    <w:p>
      <w:pPr>
        <w:spacing w:after="120" w:before="0" w:line="300"/>
        <w:jc w:val="both"/>
      </w:pPr>
      <w:r>
        <w:rPr>
          <w:rFonts w:ascii="Times New Roman" w:cs="Times New Roman" w:eastAsia="Times New Roman" w:hAnsi="Times New Roman"/>
          <w:color w:val="2E2E2E"/>
          <w:sz w:val="22"/>
          <w:szCs w:val="22"/>
        </w:rPr>
        <w:t xml:space="preserve">Koja's own commitments beyond the base question remain lightly sketched: diversification away from tourism dependence, support for the already-agreed return of American-held land south of Kadena, and a less adversarial working relationship with Tokyo.</w:t>
      </w:r>
    </w:p>
    <w:p>
      <w:pPr>
        <w:spacing w:after="120" w:before="0" w:line="300"/>
        <w:jc w:val="both"/>
      </w:pPr>
      <w:r>
        <w:rPr>
          <w:rFonts w:ascii="Times New Roman" w:cs="Times New Roman" w:eastAsia="Times New Roman" w:hAnsi="Times New Roman"/>
          <w:color w:val="2E2E2E"/>
          <w:sz w:val="22"/>
          <w:szCs w:val="22"/>
        </w:rPr>
        <w:t xml:space="preserve">The practical test starts immediately, with a prefectural government staffed around twelve years of opposite priorities and an assembly whose composition was not on Sunday's ballot.</w:t>
      </w:r>
    </w:p>
    <w:p>
      <w:pPr>
        <w:spacing w:after="120" w:before="0" w:line="300"/>
        <w:jc w:val="both"/>
      </w:pPr>
      <w:r>
        <w:rPr>
          <w:rFonts w:ascii="Times New Roman" w:cs="Times New Roman" w:eastAsia="Times New Roman" w:hAnsi="Times New Roman"/>
          <w:color w:val="2E2E2E"/>
          <w:sz w:val="22"/>
          <w:szCs w:val="22"/>
        </w:rPr>
        <w:t xml:space="preserve">The Henoko project itself proceeds on a timeline set by engineering rather than politics. Landfill work in Oura Bay has been complicated by soft seabed conditions requiring extensive ground improvement, a technical problem indifferent to who holds the governorship.</w:t>
      </w:r>
    </w:p>
    <w:p>
      <w:pPr>
        <w:spacing w:after="120" w:before="0" w:line="300"/>
        <w:jc w:val="both"/>
      </w:pPr>
      <w:r>
        <w:rPr>
          <w:rFonts w:ascii="Times New Roman" w:cs="Times New Roman" w:eastAsia="Times New Roman" w:hAnsi="Times New Roman"/>
          <w:color w:val="2E2E2E"/>
          <w:sz w:val="22"/>
          <w:szCs w:val="22"/>
        </w:rPr>
        <w:t xml:space="preserve">What changes under a cooperative governor is the administrative friction surrounding that work. Permits, coastal management approvals and prefectural coordination all sit within gubernatorial discretion, and a decade of that discretion being exercised adversarially has consumed considerable time on both sides.</w:t>
      </w:r>
    </w:p>
    <w:p>
      <w:pPr>
        <w:spacing w:after="120" w:before="0" w:line="300"/>
        <w:jc w:val="both"/>
      </w:pPr>
      <w:r>
        <w:rPr>
          <w:rFonts w:ascii="Times New Roman" w:cs="Times New Roman" w:eastAsia="Times New Roman" w:hAnsi="Times New Roman"/>
          <w:color w:val="2E2E2E"/>
          <w:sz w:val="22"/>
          <w:szCs w:val="22"/>
        </w:rPr>
        <w:t xml:space="preserve">Okinawa's economic position gives Koja's stated priorities their urgency. Prefectural income has trailed the national average for as long as the comparison has been made, and an economy weighted toward tourism and services carries a structural ceiling that base-related spending has never lifted.</w:t>
      </w:r>
    </w:p>
    <w:p>
      <w:pPr>
        <w:spacing w:after="120" w:before="0" w:line="300"/>
        <w:jc w:val="both"/>
      </w:pPr>
      <w:r>
        <w:rPr>
          <w:rFonts w:ascii="Times New Roman" w:cs="Times New Roman" w:eastAsia="Times New Roman" w:hAnsi="Times New Roman"/>
          <w:color w:val="2E2E2E"/>
          <w:sz w:val="22"/>
          <w:szCs w:val="22"/>
        </w:rPr>
        <w:t xml:space="preserve">The American military presence remains substantial regardless of the relocation's progress, with a concentration of United States facilities on Okinawa disproportionate to the prefecture's share of national territory, a fact that has driven local politics since reversion and will continue to whoever governs.</w:t>
      </w:r>
    </w:p>
    <w:p>
      <w:pPr>
        <w:spacing w:after="120" w:before="0" w:line="300"/>
        <w:jc w:val="both"/>
      </w:pPr>
      <w:r>
        <w:rPr>
          <w:rFonts w:ascii="Times New Roman" w:cs="Times New Roman" w:eastAsia="Times New Roman" w:hAnsi="Times New Roman"/>
          <w:color w:val="2E2E2E"/>
          <w:sz w:val="22"/>
          <w:szCs w:val="22"/>
        </w:rPr>
        <w:t xml:space="preserve">Tamaki leaves office having demonstrated both the reach and the limits of prefectural opposition, a record his successor inherits as the baseline against which any new approach will be measured.</w:t>
      </w:r>
    </w:p>
    <w:p>
      <w:pPr>
        <w:spacing w:after="120" w:before="0" w:line="300"/>
        <w:jc w:val="both"/>
      </w:pPr>
      <w:r>
        <w:rPr>
          <w:rFonts w:ascii="Times New Roman" w:cs="Times New Roman" w:eastAsia="Times New Roman" w:hAnsi="Times New Roman"/>
          <w:color w:val="2E2E2E"/>
          <w:sz w:val="22"/>
          <w:szCs w:val="22"/>
        </w:rPr>
        <w:t xml:space="preserve">Okinawa's position in Japanese politics has never been reducible to the base question alone, though national coverage has often treated it that way. Employment, wage levels, child poverty rates and the cost of living have registered in prefectural polling for years without commanding comparable attention outside the islands.</w:t>
      </w:r>
    </w:p>
    <w:p>
      <w:pPr>
        <w:spacing w:after="120" w:before="0" w:line="300"/>
        <w:jc w:val="both"/>
      </w:pPr>
      <w:r>
        <w:rPr>
          <w:rFonts w:ascii="Times New Roman" w:cs="Times New Roman" w:eastAsia="Times New Roman" w:hAnsi="Times New Roman"/>
          <w:color w:val="2E2E2E"/>
          <w:sz w:val="22"/>
          <w:szCs w:val="22"/>
        </w:rPr>
        <w:t xml:space="preserve">Sunday's result can be read as that longer-standing set of concerns finally determining an outcome, rather than as a sudden change of view about Henoko. On that reading the campaign did not persuade voters of anything new; it offered a candidate organised around what they already cared about.</w:t>
      </w:r>
    </w:p>
    <w:p>
      <w:pPr>
        <w:spacing w:after="120" w:before="0" w:line="300"/>
        <w:jc w:val="both"/>
      </w:pPr>
      <w:r>
        <w:rPr>
          <w:rFonts w:ascii="Times New Roman" w:cs="Times New Roman" w:eastAsia="Times New Roman" w:hAnsi="Times New Roman"/>
          <w:color w:val="2E2E2E"/>
          <w:sz w:val="22"/>
          <w:szCs w:val="22"/>
        </w:rPr>
        <w:t xml:space="preserve">The incoming administration inherits specific commitments as well as general ones. The return of American-held land south of Kadena under the 2013 consolidation framework proceeds on its own schedule, and managing the reversion of those parcels is prefectural work regardless of who governs.</w:t>
      </w:r>
    </w:p>
    <w:p>
      <w:pPr>
        <w:spacing w:after="200" w:before="40"/>
        <w:jc w:val="right"/>
      </w:pPr>
      <w:r>
        <w:rPr>
          <w:rFonts w:ascii="Helvetica" w:cs="Helvetica" w:eastAsia="Helvetica" w:hAnsi="Helvetica"/>
          <w:i/>
          <w:iCs/>
          <w:color w:val="888888"/>
          <w:sz w:val="16"/>
          <w:szCs w:val="16"/>
        </w:rPr>
        <w:t xml:space="preserve">[614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Ishin Set to Take First Cabinet Post as Reshuffle Nears</w:t>
      </w:r>
    </w:p>
    <w:p>
      <w:pPr>
        <w:spacing w:after="40" w:before="40"/>
      </w:pPr>
      <w:r>
        <w:rPr>
          <w:rFonts w:ascii="Times New Roman" w:cs="Times New Roman" w:eastAsia="Times New Roman" w:hAnsi="Times New Roman"/>
          <w:i/>
          <w:iCs/>
          <w:color w:val="9B1B2A"/>
          <w:sz w:val="22"/>
          <w:szCs w:val="22"/>
        </w:rPr>
        <w:t xml:space="preserve">Secretary-General Hiroshi Nakatsuji is expected to be named Minister of State for Special Missions, with the reshuffle anticipated around Thursday</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The Japan Innovation Party is expected to gain its first cabinet member, with Secretary-General Hiroshi Nakatsuji set to be appointed Minister of State for Special Missions in the Cabinet Office, according to Yomiuri Shimbun's front page and Japan Agricultural News. The reshuffle itself is expected around the 17th.</w:t>
      </w:r>
    </w:p>
    <w:p>
      <w:pPr>
        <w:spacing w:after="120" w:before="0" w:line="300"/>
        <w:jc w:val="both"/>
      </w:pPr>
      <w:r>
        <w:rPr>
          <w:rFonts w:ascii="Times New Roman" w:cs="Times New Roman" w:eastAsia="Times New Roman" w:hAnsi="Times New Roman"/>
          <w:color w:val="2E2E2E"/>
          <w:sz w:val="22"/>
          <w:szCs w:val="22"/>
        </w:rPr>
        <w:t xml:space="preserve">A first cabinet seat is a genuine threshold for a junior coalition partner. It converts influence exercised through negotiation into influence exercised from inside the room where decisions are drafted, and it commits the party to defending outcomes it previously had the luxury of merely shaping.</w:t>
      </w:r>
    </w:p>
    <w:p>
      <w:pPr>
        <w:spacing w:after="120" w:before="0" w:line="300"/>
        <w:jc w:val="both"/>
      </w:pPr>
      <w:r>
        <w:rPr>
          <w:rFonts w:ascii="Times New Roman" w:cs="Times New Roman" w:eastAsia="Times New Roman" w:hAnsi="Times New Roman"/>
          <w:color w:val="2E2E2E"/>
          <w:sz w:val="22"/>
          <w:szCs w:val="22"/>
        </w:rPr>
        <w:t xml:space="preserve">The Minister of State for Special Missions portfolio in the Cabinet Office is a flexible one, its specific brief set by the government of the day rather than fixed by statute, which makes the assignment's practical weight dependent on what Nakatsuji is actually handed.</w:t>
      </w:r>
    </w:p>
    <w:p>
      <w:pPr>
        <w:spacing w:after="120" w:before="0" w:line="300"/>
        <w:jc w:val="both"/>
      </w:pPr>
      <w:r>
        <w:rPr>
          <w:rFonts w:ascii="Times New Roman" w:cs="Times New Roman" w:eastAsia="Times New Roman" w:hAnsi="Times New Roman"/>
          <w:color w:val="2E2E2E"/>
          <w:sz w:val="22"/>
          <w:szCs w:val="22"/>
        </w:rPr>
        <w:t xml:space="preserve">For Ishin, the appointment carries the familiar risk facing any reformist party that enters government: the positions that made it distinctive become harder to hold once its own secretary-general shares collective responsibility for the coalition's compromises.</w:t>
      </w:r>
    </w:p>
    <w:p>
      <w:pPr>
        <w:spacing w:after="120" w:before="0" w:line="300"/>
        <w:jc w:val="both"/>
      </w:pPr>
      <w:r>
        <w:rPr>
          <w:rFonts w:ascii="Times New Roman" w:cs="Times New Roman" w:eastAsia="Times New Roman" w:hAnsi="Times New Roman"/>
          <w:color w:val="2E2E2E"/>
          <w:sz w:val="22"/>
          <w:szCs w:val="22"/>
        </w:rPr>
        <w:t xml:space="preserve">The timing places the reshuffle immediately after the Bank of Japan's policy meeting on the 17th and 18th, meaning a new cabinet lineup and a probable interest rate decision will land in the same news cycle.</w:t>
      </w:r>
    </w:p>
    <w:p>
      <w:pPr>
        <w:spacing w:after="120" w:before="0" w:line="300"/>
        <w:jc w:val="both"/>
      </w:pPr>
      <w:r>
        <w:rPr>
          <w:rFonts w:ascii="Times New Roman" w:cs="Times New Roman" w:eastAsia="Times New Roman" w:hAnsi="Times New Roman"/>
          <w:color w:val="2E2E2E"/>
          <w:sz w:val="22"/>
          <w:szCs w:val="22"/>
        </w:rPr>
        <w:t xml:space="preserve">Party officials have not publicly confirmed the appointment, consistent with the convention that cabinet posts are not acknowledged until the formal announcement, however thoroughly they have been reported in advance.</w:t>
      </w:r>
    </w:p>
    <w:p>
      <w:pPr>
        <w:spacing w:after="120" w:before="0" w:line="300"/>
        <w:jc w:val="both"/>
      </w:pPr>
      <w:r>
        <w:rPr>
          <w:rFonts w:ascii="Times New Roman" w:cs="Times New Roman" w:eastAsia="Times New Roman" w:hAnsi="Times New Roman"/>
          <w:color w:val="2E2E2E"/>
          <w:sz w:val="22"/>
          <w:szCs w:val="22"/>
        </w:rPr>
        <w:t xml:space="preserve">Ishin's origins in Osaka regional politics have shaped its national identity, built around administrative reform, reduced public sector cost and a scepticism toward Tokyo-centred governance that distinguishes it from both the governing party and the main opposition.</w:t>
      </w:r>
    </w:p>
    <w:p>
      <w:pPr>
        <w:spacing w:after="120" w:before="0" w:line="300"/>
        <w:jc w:val="both"/>
      </w:pPr>
      <w:r>
        <w:rPr>
          <w:rFonts w:ascii="Times New Roman" w:cs="Times New Roman" w:eastAsia="Times New Roman" w:hAnsi="Times New Roman"/>
          <w:color w:val="2E2E2E"/>
          <w:sz w:val="22"/>
          <w:szCs w:val="22"/>
        </w:rPr>
        <w:t xml:space="preserve">Translating that identity into a Cabinet Office portfolio is not straightforward. Ministers of State for Special Missions typically handle cross-cutting briefs assigned by the prime minister, which offers latitude but denies the institutional base that a line ministry provides.</w:t>
      </w:r>
    </w:p>
    <w:p>
      <w:pPr>
        <w:spacing w:after="120" w:before="0" w:line="300"/>
        <w:jc w:val="both"/>
      </w:pPr>
      <w:r>
        <w:rPr>
          <w:rFonts w:ascii="Times New Roman" w:cs="Times New Roman" w:eastAsia="Times New Roman" w:hAnsi="Times New Roman"/>
          <w:color w:val="2E2E2E"/>
          <w:sz w:val="22"/>
          <w:szCs w:val="22"/>
        </w:rPr>
        <w:t xml:space="preserve">Coalition partners in Japanese governments have historically faced a consistent trade. Cabinet representation delivers visibility and influence over drafting, while the collective responsibility that accompanies it constrains the public differentiation that sustains a smaller party's separate identity.</w:t>
      </w:r>
    </w:p>
    <w:p>
      <w:pPr>
        <w:spacing w:after="120" w:before="0" w:line="300"/>
        <w:jc w:val="both"/>
      </w:pPr>
      <w:r>
        <w:rPr>
          <w:rFonts w:ascii="Times New Roman" w:cs="Times New Roman" w:eastAsia="Times New Roman" w:hAnsi="Times New Roman"/>
          <w:color w:val="2E2E2E"/>
          <w:sz w:val="22"/>
          <w:szCs w:val="22"/>
        </w:rPr>
        <w:t xml:space="preserve">Komeito's long partnership with the Liberal Democratic Party is the reference case most often cited, a relationship that delivered durable influence at the cost of the distinctiveness the party had before entering government.</w:t>
      </w:r>
    </w:p>
    <w:p>
      <w:pPr>
        <w:spacing w:after="120" w:before="0" w:line="300"/>
        <w:jc w:val="both"/>
      </w:pPr>
      <w:r>
        <w:rPr>
          <w:rFonts w:ascii="Times New Roman" w:cs="Times New Roman" w:eastAsia="Times New Roman" w:hAnsi="Times New Roman"/>
          <w:color w:val="2E2E2E"/>
          <w:sz w:val="22"/>
          <w:szCs w:val="22"/>
        </w:rPr>
        <w:t xml:space="preserve">For the coalition's arithmetic, Ishin's presence in Cabinet binds the party more firmly to the government's programme at a moment when that programme includes a consumption tax measure and a monetary policy turn.</w:t>
      </w:r>
    </w:p>
    <w:p>
      <w:pPr>
        <w:spacing w:after="120" w:before="0" w:line="300"/>
        <w:jc w:val="both"/>
      </w:pPr>
      <w:r>
        <w:rPr>
          <w:rFonts w:ascii="Times New Roman" w:cs="Times New Roman" w:eastAsia="Times New Roman" w:hAnsi="Times New Roman"/>
          <w:color w:val="2E2E2E"/>
          <w:sz w:val="22"/>
          <w:szCs w:val="22"/>
        </w:rPr>
        <w:t xml:space="preserve">Cabinet Office portfolios of this kind have covered areas including regional revitalisation, administrative reform, disaster management and economic security in recent governments, with the specific combination varying by administration.</w:t>
      </w:r>
    </w:p>
    <w:p>
      <w:pPr>
        <w:spacing w:after="120" w:before="0" w:line="300"/>
        <w:jc w:val="both"/>
      </w:pPr>
      <w:r>
        <w:rPr>
          <w:rFonts w:ascii="Times New Roman" w:cs="Times New Roman" w:eastAsia="Times New Roman" w:hAnsi="Times New Roman"/>
          <w:color w:val="2E2E2E"/>
          <w:sz w:val="22"/>
          <w:szCs w:val="22"/>
        </w:rPr>
        <w:t xml:space="preserve">Whichever brief Nakatsuji receives, the appointment gives Ishin a seat at cabinet meetings where the government's full agenda is discussed, which is influence of a different order from the policy consultations a coalition partner conducts from outside.</w:t>
      </w:r>
    </w:p>
    <w:p>
      <w:pPr>
        <w:spacing w:after="120" w:before="0" w:line="300"/>
        <w:jc w:val="both"/>
      </w:pPr>
      <w:r>
        <w:rPr>
          <w:rFonts w:ascii="Times New Roman" w:cs="Times New Roman" w:eastAsia="Times New Roman" w:hAnsi="Times New Roman"/>
          <w:color w:val="2E2E2E"/>
          <w:sz w:val="22"/>
          <w:szCs w:val="22"/>
        </w:rPr>
        <w:t xml:space="preserve">The party's Osaka base gives it a governing record to point to, unusual among Japan's smaller national parties, most of which have never held executive responsibility at any level.</w:t>
      </w:r>
    </w:p>
    <w:p>
      <w:pPr>
        <w:spacing w:after="200" w:before="40"/>
        <w:jc w:val="right"/>
      </w:pPr>
      <w:r>
        <w:rPr>
          <w:rFonts w:ascii="Helvetica" w:cs="Helvetica" w:eastAsia="Helvetica" w:hAnsi="Helvetica"/>
          <w:i/>
          <w:iCs/>
          <w:color w:val="888888"/>
          <w:sz w:val="16"/>
          <w:szCs w:val="16"/>
        </w:rPr>
        <w:t xml:space="preserve">[514 words]</w:t>
      </w:r>
    </w:p>
    <w:p>
      <w:pPr>
        <w:shd w:fill="0D1B2A" w:color="auto" w:val="clear"/>
        <w:spacing w:after="160" w:before="300"/>
        <w:jc w:val="center"/>
      </w:pPr>
      <w:r>
        <w:rPr>
          <w:rFonts w:ascii="Helvetica" w:cs="Helvetica" w:eastAsia="Helvetica" w:hAnsi="Helvetica"/>
          <w:b/>
          <w:bCs/>
          <w:color w:val="FFFFFF"/>
          <w:sz w:val="24"/>
          <w:szCs w:val="24"/>
        </w:rPr>
        <w:t xml:space="preserve">— ANALYSIS —</w:t>
      </w:r>
    </w:p>
    <w:p>
      <w:pPr>
        <w:pBdr>
          <w:top w:val="thick" w:color="9B1B2A" w:sz="18"/>
        </w:pBdr>
        <w:spacing w:after="80" w:before="160"/>
      </w:pPr>
      <w:r>
        <w:rPr>
          <w:rFonts w:ascii="Times New Roman" w:cs="Times New Roman" w:eastAsia="Times New Roman" w:hAnsi="Times New Roman"/>
          <w:b/>
          <w:bCs/>
          <w:color w:val="0D1B2A"/>
          <w:sz w:val="40"/>
          <w:szCs w:val="40"/>
        </w:rPr>
        <w:t xml:space="preserve">ANALYSIS: The Sentence That Explains Okinawa's Result</w:t>
      </w:r>
    </w:p>
    <w:p>
      <w:pPr>
        <w:spacing w:after="40" w:before="40"/>
      </w:pPr>
      <w:r>
        <w:rPr>
          <w:rFonts w:ascii="Times New Roman" w:cs="Times New Roman" w:eastAsia="Times New Roman" w:hAnsi="Times New Roman"/>
          <w:i/>
          <w:iCs/>
          <w:color w:val="9B1B2A"/>
          <w:sz w:val="22"/>
          <w:szCs w:val="22"/>
        </w:rPr>
        <w:t xml:space="preserve">Exit polling found young voters ranking the economy above the base issue, a reordering that outlasts any single election</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Exit polling reported by Yomiuri Shimbun found strong support for Genta Koja among young voters, with the clearest finding being a judgment that the economy matters more than the base issue. That sentence explains Sunday's result more economically than any account of the campaign does.</w:t>
      </w:r>
    </w:p>
    <w:p>
      <w:pPr>
        <w:spacing w:after="120" w:before="0" w:line="300"/>
        <w:jc w:val="both"/>
      </w:pPr>
      <w:r>
        <w:rPr>
          <w:rFonts w:ascii="Times New Roman" w:cs="Times New Roman" w:eastAsia="Times New Roman" w:hAnsi="Times New Roman"/>
          <w:color w:val="2E2E2E"/>
          <w:sz w:val="22"/>
          <w:szCs w:val="22"/>
        </w:rPr>
        <w:t xml:space="preserve">It is worth being precise about what the finding does and does not establish. It does not show that young Okinawans have changed their minds about Henoko. It shows that they ranked something else above it when deciding how to vote, which is a different proposition with different consequences.</w:t>
      </w:r>
    </w:p>
    <w:p>
      <w:pPr>
        <w:spacing w:after="120" w:before="0" w:line="300"/>
        <w:jc w:val="both"/>
      </w:pPr>
      <w:r>
        <w:rPr>
          <w:rFonts w:ascii="Times New Roman" w:cs="Times New Roman" w:eastAsia="Times New Roman" w:hAnsi="Times New Roman"/>
          <w:color w:val="2E2E2E"/>
          <w:sz w:val="22"/>
          <w:szCs w:val="22"/>
        </w:rPr>
        <w:t xml:space="preserve">A voter can hold an unchanged view on the base relocation and still vote for a candidate who accepts it, if that voter has concluded the relocation is going to proceed regardless and that the governorship is better spent on questions where the prefecture actually has leverage.</w:t>
      </w:r>
    </w:p>
    <w:p>
      <w:pPr>
        <w:spacing w:after="120" w:before="0" w:line="300"/>
        <w:jc w:val="both"/>
      </w:pPr>
      <w:r>
        <w:rPr>
          <w:rFonts w:ascii="Times New Roman" w:cs="Times New Roman" w:eastAsia="Times New Roman" w:hAnsi="Times New Roman"/>
          <w:color w:val="2E2E2E"/>
          <w:sz w:val="22"/>
          <w:szCs w:val="22"/>
        </w:rPr>
        <w:t xml:space="preserve">That reading makes the result less a repudiation of the All-Okinawa movement's position than a verdict on its utility. Twelve years of gubernatorial opposition did not stop construction, and voters appear to have priced that in.</w:t>
      </w:r>
    </w:p>
    <w:p>
      <w:pPr>
        <w:spacing w:after="120" w:before="0" w:line="300"/>
        <w:jc w:val="both"/>
      </w:pPr>
      <w:r>
        <w:rPr>
          <w:rFonts w:ascii="Times New Roman" w:cs="Times New Roman" w:eastAsia="Times New Roman" w:hAnsi="Times New Roman"/>
          <w:color w:val="2E2E2E"/>
          <w:sz w:val="22"/>
          <w:szCs w:val="22"/>
        </w:rPr>
        <w:t xml:space="preserve">The generational dimension gives the finding its durability. Voters who came of age after the relocation dispute had already become a fixture of prefectural politics encountered it as a permanent condition rather than as a live question, which changes how much weight it carries against wages and prices.</w:t>
      </w:r>
    </w:p>
    <w:p>
      <w:pPr>
        <w:spacing w:after="120" w:before="0" w:line="300"/>
        <w:jc w:val="both"/>
      </w:pPr>
      <w:r>
        <w:rPr>
          <w:rFonts w:ascii="Times New Roman" w:cs="Times New Roman" w:eastAsia="Times New Roman" w:hAnsi="Times New Roman"/>
          <w:color w:val="2E2E2E"/>
          <w:sz w:val="22"/>
          <w:szCs w:val="22"/>
        </w:rPr>
        <w:t xml:space="preserve">For the incoming administration, the finding is both mandate and trap. It authorises an economic focus, and it means an economic focus is what Koja will be measured against, in a prefecture whose income levels have trailed the national average for as long as records have been kept.</w:t>
      </w:r>
    </w:p>
    <w:p>
      <w:pPr>
        <w:spacing w:after="120" w:before="0" w:line="300"/>
        <w:jc w:val="both"/>
      </w:pPr>
      <w:r>
        <w:rPr>
          <w:rFonts w:ascii="Times New Roman" w:cs="Times New Roman" w:eastAsia="Times New Roman" w:hAnsi="Times New Roman"/>
          <w:color w:val="2E2E2E"/>
          <w:sz w:val="22"/>
          <w:szCs w:val="22"/>
        </w:rPr>
        <w:t xml:space="preserve">The upward adjustment of the Okinawa development budget beyond 300 billion yen, reported by Kyodo News, gives the new governor resources to work with and gives his critics a ready-made argument about what cooperation with Tokyo is worth in yen.</w:t>
      </w:r>
    </w:p>
    <w:p>
      <w:pPr>
        <w:spacing w:after="120" w:before="0" w:line="300"/>
        <w:jc w:val="both"/>
      </w:pPr>
      <w:r>
        <w:rPr>
          <w:rFonts w:ascii="Times New Roman" w:cs="Times New Roman" w:eastAsia="Times New Roman" w:hAnsi="Times New Roman"/>
          <w:color w:val="2E2E2E"/>
          <w:sz w:val="22"/>
          <w:szCs w:val="22"/>
        </w:rPr>
        <w:t xml:space="preserve">Whether this realignment proves durable or specific to this matchup will be tested at the next prefectural assembly election, where the All-Okinawa coalition's organisational strength can be measured against a mood that has clearly moved.</w:t>
      </w:r>
    </w:p>
    <w:p>
      <w:pPr>
        <w:spacing w:after="120" w:before="0" w:line="300"/>
        <w:jc w:val="both"/>
      </w:pPr>
      <w:r>
        <w:rPr>
          <w:rFonts w:ascii="Times New Roman" w:cs="Times New Roman" w:eastAsia="Times New Roman" w:hAnsi="Times New Roman"/>
          <w:color w:val="2E2E2E"/>
          <w:sz w:val="22"/>
          <w:szCs w:val="22"/>
        </w:rPr>
        <w:t xml:space="preserve">Turnout of 61.57%, up 3.65 points on the previous gubernatorial race, is the other half of the arithmetic. Higher participation broke toward the challenger, which is not the direction incumbency-protective conventional wisdom would predict.</w:t>
      </w:r>
    </w:p>
    <w:p>
      <w:pPr>
        <w:spacing w:after="120" w:before="0" w:line="300"/>
        <w:jc w:val="both"/>
      </w:pPr>
      <w:r>
        <w:rPr>
          <w:rFonts w:ascii="Times New Roman" w:cs="Times New Roman" w:eastAsia="Times New Roman" w:hAnsi="Times New Roman"/>
          <w:color w:val="2E2E2E"/>
          <w:sz w:val="22"/>
          <w:szCs w:val="22"/>
        </w:rPr>
        <w:t xml:space="preserve">The All Okinawa coalition's organisational strength was built on a mobilisation model that assumed a reliable base motivated by the base question, and a turnout increase that did not favour it suggests the marginal voter it brought out was not that voter.</w:t>
      </w:r>
    </w:p>
    <w:p>
      <w:pPr>
        <w:spacing w:after="120" w:before="0" w:line="300"/>
        <w:jc w:val="both"/>
      </w:pPr>
      <w:r>
        <w:rPr>
          <w:rFonts w:ascii="Times New Roman" w:cs="Times New Roman" w:eastAsia="Times New Roman" w:hAnsi="Times New Roman"/>
          <w:color w:val="2E2E2E"/>
          <w:sz w:val="22"/>
          <w:szCs w:val="22"/>
        </w:rPr>
        <w:t xml:space="preserve">February's sweep of all four directly elected Lower House seats by the governing party was the earlier signal, and the gubernatorial result now confirms the pattern holds in a prefecture-wide contest with a single office at stake.</w:t>
      </w:r>
    </w:p>
    <w:p>
      <w:pPr>
        <w:spacing w:after="120" w:before="0" w:line="300"/>
        <w:jc w:val="both"/>
      </w:pPr>
      <w:r>
        <w:rPr>
          <w:rFonts w:ascii="Times New Roman" w:cs="Times New Roman" w:eastAsia="Times New Roman" w:hAnsi="Times New Roman"/>
          <w:color w:val="2E2E2E"/>
          <w:sz w:val="22"/>
          <w:szCs w:val="22"/>
        </w:rPr>
        <w:t xml:space="preserve">What the exit polling does not establish is whether the economic priority reflects worsening conditions or simply a judgment that the base question offers no further return on political attention, and the two would have different implications for how durable the shift proves.</w:t>
      </w:r>
    </w:p>
    <w:p>
      <w:pPr>
        <w:spacing w:after="120" w:before="0" w:line="300"/>
        <w:jc w:val="both"/>
      </w:pPr>
      <w:r>
        <w:rPr>
          <w:rFonts w:ascii="Times New Roman" w:cs="Times New Roman" w:eastAsia="Times New Roman" w:hAnsi="Times New Roman"/>
          <w:color w:val="2E2E2E"/>
          <w:sz w:val="22"/>
          <w:szCs w:val="22"/>
        </w:rPr>
        <w:t xml:space="preserve">The prefectural assembly, elected on a separate cycle, remains the institutional check on how much the new governor can accomplish, and its composition was not on Sunday's ballot.</w:t>
      </w:r>
    </w:p>
    <w:p>
      <w:pPr>
        <w:spacing w:after="200" w:before="40"/>
        <w:jc w:val="right"/>
      </w:pPr>
      <w:r>
        <w:rPr>
          <w:rFonts w:ascii="Helvetica" w:cs="Helvetica" w:eastAsia="Helvetica" w:hAnsi="Helvetica"/>
          <w:i/>
          <w:iCs/>
          <w:color w:val="888888"/>
          <w:sz w:val="16"/>
          <w:szCs w:val="16"/>
        </w:rPr>
        <w:t xml:space="preserve">[532 words]</w:t>
      </w:r>
    </w:p>
    <w:p>
      <w:pPr>
        <w:shd w:fill="0D1B2A" w:color="auto" w:val="clear"/>
        <w:spacing w:after="160" w:before="300"/>
        <w:jc w:val="center"/>
      </w:pPr>
      <w:r>
        <w:rPr>
          <w:rFonts w:ascii="Helvetica" w:cs="Helvetica" w:eastAsia="Helvetica" w:hAnsi="Helvetica"/>
          <w:b/>
          <w:bCs/>
          <w:color w:val="FFFFFF"/>
          <w:sz w:val="24"/>
          <w:szCs w:val="24"/>
        </w:rPr>
        <w:t xml:space="preserve">— POLITICS —</w:t>
      </w:r>
    </w:p>
    <w:p>
      <w:pPr>
        <w:pBdr>
          <w:top w:val="thick" w:color="9B1B2A" w:sz="18"/>
        </w:pBdr>
        <w:spacing w:after="80" w:before="160"/>
      </w:pPr>
      <w:r>
        <w:rPr>
          <w:rFonts w:ascii="Times New Roman" w:cs="Times New Roman" w:eastAsia="Times New Roman" w:hAnsi="Times New Roman"/>
          <w:b/>
          <w:bCs/>
          <w:color w:val="0D1B2A"/>
          <w:sz w:val="40"/>
          <w:szCs w:val="40"/>
        </w:rPr>
        <w:t xml:space="preserve">Cabinet Approves Cut in Food Consumption Tax From 8% to 1%</w:t>
      </w:r>
    </w:p>
    <w:p>
      <w:pPr>
        <w:spacing w:after="40" w:before="40"/>
      </w:pPr>
      <w:r>
        <w:rPr>
          <w:rFonts w:ascii="Times New Roman" w:cs="Times New Roman" w:eastAsia="Times New Roman" w:hAnsi="Times New Roman"/>
          <w:i/>
          <w:iCs/>
          <w:color w:val="9B1B2A"/>
          <w:sz w:val="22"/>
          <w:szCs w:val="22"/>
        </w:rPr>
        <w:t xml:space="preserve">The two-year reduction takes effect in April 2027 under a tax reform outline the LDP and Ishin had already signed off on</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The Cabinet approved a tax reform outline Tuesday that lowers the consumption tax on food and beverages from 8% to 1% for two years beginning in April 2027, according to Japan Agricultural News and Sankei Shimbun. The Liberal Democratic Party and the Japan Innovation Party had both already approved the plan.</w:t>
      </w:r>
    </w:p>
    <w:p>
      <w:pPr>
        <w:spacing w:after="120" w:before="0" w:line="300"/>
        <w:jc w:val="both"/>
      </w:pPr>
      <w:r>
        <w:rPr>
          <w:rFonts w:ascii="Times New Roman" w:cs="Times New Roman" w:eastAsia="Times New Roman" w:hAnsi="Times New Roman"/>
          <w:color w:val="2E2E2E"/>
          <w:sz w:val="22"/>
          <w:szCs w:val="22"/>
        </w:rPr>
        <w:t xml:space="preserve">A seven-point cut on food is among the more direct instruments a government has for addressing cost-of-living pressure, and it is aimed at exactly the complaint that has been reordering Japanese politics for three years, most recently in Okinawa's gubernatorial election.</w:t>
      </w:r>
    </w:p>
    <w:p>
      <w:pPr>
        <w:spacing w:after="120" w:before="0" w:line="300"/>
        <w:jc w:val="both"/>
      </w:pPr>
      <w:r>
        <w:rPr>
          <w:rFonts w:ascii="Times New Roman" w:cs="Times New Roman" w:eastAsia="Times New Roman" w:hAnsi="Times New Roman"/>
          <w:color w:val="2E2E2E"/>
          <w:sz w:val="22"/>
          <w:szCs w:val="22"/>
        </w:rPr>
        <w:t xml:space="preserve">The two-year limit is doing real work in the design. A temporary cut is easier to legislate than a permanent one because it does not require permanently solving the revenue question, and it gives the government a natural decision point rather than an open-ended commitment.</w:t>
      </w:r>
    </w:p>
    <w:p>
      <w:pPr>
        <w:spacing w:after="120" w:before="0" w:line="300"/>
        <w:jc w:val="both"/>
      </w:pPr>
      <w:r>
        <w:rPr>
          <w:rFonts w:ascii="Times New Roman" w:cs="Times New Roman" w:eastAsia="Times New Roman" w:hAnsi="Times New Roman"/>
          <w:color w:val="2E2E2E"/>
          <w:sz w:val="22"/>
          <w:szCs w:val="22"/>
        </w:rPr>
        <w:t xml:space="preserve">It also creates its own problem at the far end. Restoring a tax that households have spent two years not paying is politically harder than never having cut it, a dynamic familiar from temporary tax measures in other countries that proved considerably easier to introduce than to unwind.</w:t>
      </w:r>
    </w:p>
    <w:p>
      <w:pPr>
        <w:spacing w:after="120" w:before="0" w:line="300"/>
        <w:jc w:val="both"/>
      </w:pPr>
      <w:r>
        <w:rPr>
          <w:rFonts w:ascii="Times New Roman" w:cs="Times New Roman" w:eastAsia="Times New Roman" w:hAnsi="Times New Roman"/>
          <w:color w:val="2E2E2E"/>
          <w:sz w:val="22"/>
          <w:szCs w:val="22"/>
        </w:rPr>
        <w:t xml:space="preserve">The April 2027 start date leaves more than eighteen months before households see any change at the register, a gap that gives retailers and point-of-sale systems time to prepare and gives the opposition ample opportunity to argue the relief is too distant to matter now.</w:t>
      </w:r>
    </w:p>
    <w:p>
      <w:pPr>
        <w:spacing w:after="120" w:before="0" w:line="300"/>
        <w:jc w:val="both"/>
      </w:pPr>
      <w:r>
        <w:rPr>
          <w:rFonts w:ascii="Times New Roman" w:cs="Times New Roman" w:eastAsia="Times New Roman" w:hAnsi="Times New Roman"/>
          <w:color w:val="2E2E2E"/>
          <w:sz w:val="22"/>
          <w:szCs w:val="22"/>
        </w:rPr>
        <w:t xml:space="preserve">Japan Agricultural News, which covers the farm sector closely, has followed the measure with particular attention given how directly food pricing bears on both agricultural producers and the household budgets that buy from them.</w:t>
      </w:r>
    </w:p>
    <w:p>
      <w:pPr>
        <w:spacing w:after="120" w:before="0" w:line="300"/>
        <w:jc w:val="both"/>
      </w:pPr>
      <w:r>
        <w:rPr>
          <w:rFonts w:ascii="Times New Roman" w:cs="Times New Roman" w:eastAsia="Times New Roman" w:hAnsi="Times New Roman"/>
          <w:color w:val="2E2E2E"/>
          <w:sz w:val="22"/>
          <w:szCs w:val="22"/>
        </w:rPr>
        <w:t xml:space="preserve">Whether a temporary consumption tax cut meaningfully shifts household sentiment, or is absorbed into prices and margins along the way, is the question the measure's own two-year window is structured to answer.</w:t>
      </w:r>
    </w:p>
    <w:p>
      <w:pPr>
        <w:spacing w:after="120" w:before="0" w:line="300"/>
        <w:jc w:val="both"/>
      </w:pPr>
      <w:r>
        <w:rPr>
          <w:rFonts w:ascii="Times New Roman" w:cs="Times New Roman" w:eastAsia="Times New Roman" w:hAnsi="Times New Roman"/>
          <w:color w:val="2E2E2E"/>
          <w:sz w:val="22"/>
          <w:szCs w:val="22"/>
        </w:rPr>
        <w:t xml:space="preserve">Japan's consumption tax already operates on two rates, with food and non-alcoholic beverages taxed at 8% against a standard 10%, an arrangement introduced when the standard rate last rose. Cutting the reduced rate to 1% therefore works within an existing structure rather than creating a new one.</w:t>
      </w:r>
    </w:p>
    <w:p>
      <w:pPr>
        <w:spacing w:after="120" w:before="0" w:line="300"/>
        <w:jc w:val="both"/>
      </w:pPr>
      <w:r>
        <w:rPr>
          <w:rFonts w:ascii="Times New Roman" w:cs="Times New Roman" w:eastAsia="Times New Roman" w:hAnsi="Times New Roman"/>
          <w:color w:val="2E2E2E"/>
          <w:sz w:val="22"/>
          <w:szCs w:val="22"/>
        </w:rPr>
        <w:t xml:space="preserve">That matters administratively. Retailers and point-of-sale systems already distinguish between the two categories, so the change adjusts a rate rather than requiring businesses to classify goods they were not previously classifying.</w:t>
      </w:r>
    </w:p>
    <w:p>
      <w:pPr>
        <w:spacing w:after="120" w:before="0" w:line="300"/>
        <w:jc w:val="both"/>
      </w:pPr>
      <w:r>
        <w:rPr>
          <w:rFonts w:ascii="Times New Roman" w:cs="Times New Roman" w:eastAsia="Times New Roman" w:hAnsi="Times New Roman"/>
          <w:color w:val="2E2E2E"/>
          <w:sz w:val="22"/>
          <w:szCs w:val="22"/>
        </w:rPr>
        <w:t xml:space="preserve">The revenue consequence is substantial and the outline does not appear to resolve it. Consumption tax is among the largest single contributors to general account revenue, and food represents a significant share of the taxed base.</w:t>
      </w:r>
    </w:p>
    <w:p>
      <w:pPr>
        <w:spacing w:after="120" w:before="0" w:line="300"/>
        <w:jc w:val="both"/>
      </w:pPr>
      <w:r>
        <w:rPr>
          <w:rFonts w:ascii="Times New Roman" w:cs="Times New Roman" w:eastAsia="Times New Roman" w:hAnsi="Times New Roman"/>
          <w:color w:val="2E2E2E"/>
          <w:sz w:val="22"/>
          <w:szCs w:val="22"/>
        </w:rPr>
        <w:t xml:space="preserve">Economists have long noted that consumption tax cuts deliver their benefit in proportion to spending, which means larger absolute savings for higher-spending households, though food's share of the budget is greater for lower-income households, making the food-specific design more progressive than an across-the-board cut.</w:t>
      </w:r>
    </w:p>
    <w:p>
      <w:pPr>
        <w:spacing w:after="120" w:before="0" w:line="300"/>
        <w:jc w:val="both"/>
      </w:pPr>
      <w:r>
        <w:rPr>
          <w:rFonts w:ascii="Times New Roman" w:cs="Times New Roman" w:eastAsia="Times New Roman" w:hAnsi="Times New Roman"/>
          <w:color w:val="2E2E2E"/>
          <w:sz w:val="22"/>
          <w:szCs w:val="22"/>
        </w:rPr>
        <w:t xml:space="preserve">Whether retailers pass the reduction through in full is the practical question. Comparable measures elsewhere have seen partial absorption into margin, particularly in categories where price points are conventional rather than strictly cost-derived.</w:t>
      </w:r>
    </w:p>
    <w:p>
      <w:pPr>
        <w:spacing w:after="120" w:before="0" w:line="300"/>
        <w:jc w:val="both"/>
      </w:pPr>
      <w:r>
        <w:rPr>
          <w:rFonts w:ascii="Times New Roman" w:cs="Times New Roman" w:eastAsia="Times New Roman" w:hAnsi="Times New Roman"/>
          <w:color w:val="2E2E2E"/>
          <w:sz w:val="22"/>
          <w:szCs w:val="22"/>
        </w:rPr>
        <w:t xml:space="preserve">Japan's consumption tax has been raised three times since its introduction in 1989, and each increase has been politically costly enough to shape the electoral fortunes of the government that implemented it.</w:t>
      </w:r>
    </w:p>
    <w:p>
      <w:pPr>
        <w:spacing w:after="120" w:before="0" w:line="300"/>
        <w:jc w:val="both"/>
      </w:pPr>
      <w:r>
        <w:rPr>
          <w:rFonts w:ascii="Times New Roman" w:cs="Times New Roman" w:eastAsia="Times New Roman" w:hAnsi="Times New Roman"/>
          <w:color w:val="2E2E2E"/>
          <w:sz w:val="22"/>
          <w:szCs w:val="22"/>
        </w:rPr>
        <w:t xml:space="preserve">That history explains why a reduction, even a temporary one confined to a single category, carries symbolic weight beyond its fiscal effect. It is the first movement downward in the tax's history.</w:t>
      </w:r>
    </w:p>
    <w:p>
      <w:pPr>
        <w:spacing w:after="120" w:before="0" w:line="300"/>
        <w:jc w:val="both"/>
      </w:pPr>
      <w:r>
        <w:rPr>
          <w:rFonts w:ascii="Times New Roman" w:cs="Times New Roman" w:eastAsia="Times New Roman" w:hAnsi="Times New Roman"/>
          <w:color w:val="2E2E2E"/>
          <w:sz w:val="22"/>
          <w:szCs w:val="22"/>
        </w:rPr>
        <w:t xml:space="preserve">The measure will require legislation in the extraordinary Diet session expected after the reshuffle, where the opposition's position will determine how contested its passage becomes.</w:t>
      </w:r>
    </w:p>
    <w:p>
      <w:pPr>
        <w:spacing w:after="200" w:before="40"/>
        <w:jc w:val="right"/>
      </w:pPr>
      <w:r>
        <w:rPr>
          <w:rFonts w:ascii="Helvetica" w:cs="Helvetica" w:eastAsia="Helvetica" w:hAnsi="Helvetica"/>
          <w:i/>
          <w:iCs/>
          <w:color w:val="888888"/>
          <w:sz w:val="16"/>
          <w:szCs w:val="16"/>
        </w:rPr>
        <w:t xml:space="preserve">[576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Constitutional Democrats' New Party Name in Focus as Centrist Faction Dissolves</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The name of the new party affiliated with the Constitutional Democratic Party has become the focus of attention, with reports indicating a final decision was expected Tuesday regarding the dismantling of the centrist faction, according to Yomiuri Shimbun.</w:t>
      </w:r>
    </w:p>
    <w:p>
      <w:pPr>
        <w:spacing w:after="120" w:before="0" w:line="300"/>
        <w:jc w:val="both"/>
      </w:pPr>
      <w:r>
        <w:rPr>
          <w:rFonts w:ascii="Times New Roman" w:cs="Times New Roman" w:eastAsia="Times New Roman" w:hAnsi="Times New Roman"/>
          <w:color w:val="2E2E2E"/>
          <w:sz w:val="22"/>
          <w:szCs w:val="22"/>
        </w:rPr>
        <w:t xml:space="preserve">Party names are not a trivial matter in Japanese opposition politics, where realignments have repeatedly produced vehicles whose names signalled positioning more clearly than their platforms did, and where a poorly chosen label has outlived the coalition that adopted it.</w:t>
      </w:r>
    </w:p>
    <w:p>
      <w:pPr>
        <w:spacing w:after="120" w:before="0" w:line="300"/>
        <w:jc w:val="both"/>
      </w:pPr>
      <w:r>
        <w:rPr>
          <w:rFonts w:ascii="Times New Roman" w:cs="Times New Roman" w:eastAsia="Times New Roman" w:hAnsi="Times New Roman"/>
          <w:color w:val="2E2E2E"/>
          <w:sz w:val="22"/>
          <w:szCs w:val="22"/>
        </w:rPr>
        <w:t xml:space="preserve">Dismantling a centrist faction is the more consequential half of the story. Factional structure inside Japanese parties determines candidate selection, funding flows and leadership arithmetic, so dissolving one redistributes all three.</w:t>
      </w:r>
    </w:p>
    <w:p>
      <w:pPr>
        <w:spacing w:after="120" w:before="0" w:line="300"/>
        <w:jc w:val="both"/>
      </w:pPr>
      <w:r>
        <w:rPr>
          <w:rFonts w:ascii="Times New Roman" w:cs="Times New Roman" w:eastAsia="Times New Roman" w:hAnsi="Times New Roman"/>
          <w:color w:val="2E2E2E"/>
          <w:sz w:val="22"/>
          <w:szCs w:val="22"/>
        </w:rPr>
        <w:t xml:space="preserve">For the Constitutional Democratic Party, the exercise reflects the persistent difficulty facing Japan's largest opposition force: assembling a coalition broad enough to contest government while coherent enough to govern if it ever wins.</w:t>
      </w:r>
    </w:p>
    <w:p>
      <w:pPr>
        <w:spacing w:after="120" w:before="0" w:line="300"/>
        <w:jc w:val="both"/>
      </w:pPr>
      <w:r>
        <w:rPr>
          <w:rFonts w:ascii="Times New Roman" w:cs="Times New Roman" w:eastAsia="Times New Roman" w:hAnsi="Times New Roman"/>
          <w:color w:val="2E2E2E"/>
          <w:sz w:val="22"/>
          <w:szCs w:val="22"/>
        </w:rPr>
        <w:t xml:space="preserve">The timing, arriving in the same week as a cabinet reshuffle and a Bank of Japan decision, means the announcement competes for attention with two stories carrying more immediate consequence for most readers.</w:t>
      </w:r>
    </w:p>
    <w:p>
      <w:pPr>
        <w:spacing w:after="120" w:before="0" w:line="300"/>
        <w:jc w:val="both"/>
      </w:pPr>
      <w:r>
        <w:rPr>
          <w:rFonts w:ascii="Times New Roman" w:cs="Times New Roman" w:eastAsia="Times New Roman" w:hAnsi="Times New Roman"/>
          <w:color w:val="2E2E2E"/>
          <w:sz w:val="22"/>
          <w:szCs w:val="22"/>
        </w:rPr>
        <w:t xml:space="preserve">Whether the reorganisation produces a more effective opposition or simply a differently arranged one is a question that will be settled at the next general election rather than by the naming decision itself.</w:t>
      </w:r>
    </w:p>
    <w:p>
      <w:pPr>
        <w:spacing w:after="120" w:before="0" w:line="300"/>
        <w:jc w:val="both"/>
      </w:pPr>
      <w:r>
        <w:rPr>
          <w:rFonts w:ascii="Times New Roman" w:cs="Times New Roman" w:eastAsia="Times New Roman" w:hAnsi="Times New Roman"/>
          <w:color w:val="2E2E2E"/>
          <w:sz w:val="22"/>
          <w:szCs w:val="22"/>
        </w:rPr>
        <w:t xml:space="preserve">Japan's opposition has restructured repeatedly since the Democratic Party of Japan's period in government ended, producing a sequence of mergers, splits and renamings that has made continuity of brand difficult for voters to track.</w:t>
      </w:r>
    </w:p>
    <w:p>
      <w:pPr>
        <w:spacing w:after="120" w:before="0" w:line="300"/>
        <w:jc w:val="both"/>
      </w:pPr>
      <w:r>
        <w:rPr>
          <w:rFonts w:ascii="Times New Roman" w:cs="Times New Roman" w:eastAsia="Times New Roman" w:hAnsi="Times New Roman"/>
          <w:color w:val="2E2E2E"/>
          <w:sz w:val="22"/>
          <w:szCs w:val="22"/>
        </w:rPr>
        <w:t xml:space="preserve">The practical cost of that churn falls on candidate recruitment and local organisation, since the constituency-level machinery that wins seats is built over years and does not transfer cleanly between vehicles.</w:t>
      </w:r>
    </w:p>
    <w:p>
      <w:pPr>
        <w:spacing w:after="120" w:before="0" w:line="300"/>
        <w:jc w:val="both"/>
      </w:pPr>
      <w:r>
        <w:rPr>
          <w:rFonts w:ascii="Times New Roman" w:cs="Times New Roman" w:eastAsia="Times New Roman" w:hAnsi="Times New Roman"/>
          <w:color w:val="2E2E2E"/>
          <w:sz w:val="22"/>
          <w:szCs w:val="22"/>
        </w:rPr>
        <w:t xml:space="preserve">Factions in Japanese parties perform functions that formal structures do not, distributing funds, managing promotion expectations and organising leadership contests, which is why dissolving one has consequences beyond its membership list.</w:t>
      </w:r>
    </w:p>
    <w:p>
      <w:pPr>
        <w:spacing w:after="120" w:before="0" w:line="300"/>
        <w:jc w:val="both"/>
      </w:pPr>
      <w:r>
        <w:rPr>
          <w:rFonts w:ascii="Times New Roman" w:cs="Times New Roman" w:eastAsia="Times New Roman" w:hAnsi="Times New Roman"/>
          <w:color w:val="2E2E2E"/>
          <w:sz w:val="22"/>
          <w:szCs w:val="22"/>
        </w:rPr>
        <w:t xml:space="preserve">The governing party's own factional structure has undergone significant change in recent years following funding controversies, making factional reform a theme that cuts across the political spectrum rather than an opposition-specific exercise.</w:t>
      </w:r>
    </w:p>
    <w:p>
      <w:pPr>
        <w:spacing w:after="120" w:before="0" w:line="300"/>
        <w:jc w:val="both"/>
      </w:pPr>
      <w:r>
        <w:rPr>
          <w:rFonts w:ascii="Times New Roman" w:cs="Times New Roman" w:eastAsia="Times New Roman" w:hAnsi="Times New Roman"/>
          <w:color w:val="2E2E2E"/>
          <w:sz w:val="22"/>
          <w:szCs w:val="22"/>
        </w:rPr>
        <w:t xml:space="preserve">For voters, the test of any reorganisation is whether it produces clearer positions on the questions that decide elections, which at present means prices, wages and security rather than organisational architecture.</w:t>
      </w:r>
    </w:p>
    <w:p>
      <w:pPr>
        <w:spacing w:after="200" w:before="40"/>
        <w:jc w:val="right"/>
      </w:pPr>
      <w:r>
        <w:rPr>
          <w:rFonts w:ascii="Helvetica" w:cs="Helvetica" w:eastAsia="Helvetica" w:hAnsi="Helvetica"/>
          <w:i/>
          <w:iCs/>
          <w:color w:val="888888"/>
          <w:sz w:val="16"/>
          <w:szCs w:val="16"/>
        </w:rPr>
        <w:t xml:space="preserve">[367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Part-Time Civil Servants to Receive Dependent and Housing Allowances From October</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Part-time civil servants will begin receiving new allowances for dependents and housing from October under a National Personnel Authority policy reported by Yomiuri Shimbun, extending to non-permanent staff two benefits long treated as features of full-time public employment.</w:t>
      </w:r>
    </w:p>
    <w:p>
      <w:pPr>
        <w:spacing w:after="120" w:before="0" w:line="300"/>
        <w:jc w:val="both"/>
      </w:pPr>
      <w:r>
        <w:rPr>
          <w:rFonts w:ascii="Times New Roman" w:cs="Times New Roman" w:eastAsia="Times New Roman" w:hAnsi="Times New Roman"/>
          <w:color w:val="2E2E2E"/>
          <w:sz w:val="22"/>
          <w:szCs w:val="22"/>
        </w:rPr>
        <w:t xml:space="preserve">The change touches a distinction that has shaped Japanese employment for decades, in which the gap between permanent and non-permanent status governs not only wages but the surrounding scaffolding of allowances, security and progression.</w:t>
      </w:r>
    </w:p>
    <w:p>
      <w:pPr>
        <w:spacing w:after="120" w:before="0" w:line="300"/>
        <w:jc w:val="both"/>
      </w:pPr>
      <w:r>
        <w:rPr>
          <w:rFonts w:ascii="Times New Roman" w:cs="Times New Roman" w:eastAsia="Times New Roman" w:hAnsi="Times New Roman"/>
          <w:color w:val="2E2E2E"/>
          <w:sz w:val="22"/>
          <w:szCs w:val="22"/>
        </w:rPr>
        <w:t xml:space="preserve">Dependent and housing allowances are substantial in practice rather than symbolic, often representing a meaningful share of take-home pay for public employees with families or without employer-provided accommodation.</w:t>
      </w:r>
    </w:p>
    <w:p>
      <w:pPr>
        <w:spacing w:after="120" w:before="0" w:line="300"/>
        <w:jc w:val="both"/>
      </w:pPr>
      <w:r>
        <w:rPr>
          <w:rFonts w:ascii="Times New Roman" w:cs="Times New Roman" w:eastAsia="Times New Roman" w:hAnsi="Times New Roman"/>
          <w:color w:val="2E2E2E"/>
          <w:sz w:val="22"/>
          <w:szCs w:val="22"/>
        </w:rPr>
        <w:t xml:space="preserve">Extending them to part-time staff addresses a recruitment problem as much as an equity one, since public bodies competing for workers in a tight labour market have found non-permanent posts increasingly difficult to fill on the old terms.</w:t>
      </w:r>
    </w:p>
    <w:p>
      <w:pPr>
        <w:spacing w:after="120" w:before="0" w:line="300"/>
        <w:jc w:val="both"/>
      </w:pPr>
      <w:r>
        <w:rPr>
          <w:rFonts w:ascii="Times New Roman" w:cs="Times New Roman" w:eastAsia="Times New Roman" w:hAnsi="Times New Roman"/>
          <w:color w:val="2E2E2E"/>
          <w:sz w:val="22"/>
          <w:szCs w:val="22"/>
        </w:rPr>
        <w:t xml:space="preserve">The National Personnel Authority sets employment conditions for national public servants, and its policies are frequently adopted, with local variation, by prefectural and municipal governments, giving the October change a reach beyond the national civil service itself.</w:t>
      </w:r>
    </w:p>
    <w:p>
      <w:pPr>
        <w:spacing w:after="120" w:before="0" w:line="300"/>
        <w:jc w:val="both"/>
      </w:pPr>
      <w:r>
        <w:rPr>
          <w:rFonts w:ascii="Times New Roman" w:cs="Times New Roman" w:eastAsia="Times New Roman" w:hAnsi="Times New Roman"/>
          <w:color w:val="2E2E2E"/>
          <w:sz w:val="22"/>
          <w:szCs w:val="22"/>
        </w:rPr>
        <w:t xml:space="preserve">Public sector unions have pressed for parity of this kind for years, and the October start gives affected employees a concrete date rather than another statement of intent.</w:t>
      </w:r>
    </w:p>
    <w:p>
      <w:pPr>
        <w:spacing w:after="120" w:before="0" w:line="300"/>
        <w:jc w:val="both"/>
      </w:pPr>
      <w:r>
        <w:rPr>
          <w:rFonts w:ascii="Times New Roman" w:cs="Times New Roman" w:eastAsia="Times New Roman" w:hAnsi="Times New Roman"/>
          <w:color w:val="2E2E2E"/>
          <w:sz w:val="22"/>
          <w:szCs w:val="22"/>
        </w:rPr>
        <w:t xml:space="preserve">Non-permanent employment in Japan's public sector has expanded considerably over two decades, as budget constraints pushed national and local bodies toward staffing arrangements carrying lower fixed costs than permanent appointments.</w:t>
      </w:r>
    </w:p>
    <w:p>
      <w:pPr>
        <w:spacing w:after="120" w:before="0" w:line="300"/>
        <w:jc w:val="both"/>
      </w:pPr>
      <w:r>
        <w:rPr>
          <w:rFonts w:ascii="Times New Roman" w:cs="Times New Roman" w:eastAsia="Times New Roman" w:hAnsi="Times New Roman"/>
          <w:color w:val="2E2E2E"/>
          <w:sz w:val="22"/>
          <w:szCs w:val="22"/>
        </w:rPr>
        <w:t xml:space="preserve">The resulting workforce performs substantially the same duties as permanent colleagues in many roles, an arrangement that has drawn sustained criticism from unions and, periodically, from courts asked to assess whether differential treatment is justified.</w:t>
      </w:r>
    </w:p>
    <w:p>
      <w:pPr>
        <w:spacing w:after="120" w:before="0" w:line="300"/>
        <w:jc w:val="both"/>
      </w:pPr>
      <w:r>
        <w:rPr>
          <w:rFonts w:ascii="Times New Roman" w:cs="Times New Roman" w:eastAsia="Times New Roman" w:hAnsi="Times New Roman"/>
          <w:color w:val="2E2E2E"/>
          <w:sz w:val="22"/>
          <w:szCs w:val="22"/>
        </w:rPr>
        <w:t xml:space="preserve">Legislation on equal pay for equal work, phased in over recent years, established a general principle that unreasonable differences in treatment between permanent and non-permanent workers are impermissible, and the allowance extension follows that direction of travel.</w:t>
      </w:r>
    </w:p>
    <w:p>
      <w:pPr>
        <w:spacing w:after="120" w:before="0" w:line="300"/>
        <w:jc w:val="both"/>
      </w:pPr>
      <w:r>
        <w:rPr>
          <w:rFonts w:ascii="Times New Roman" w:cs="Times New Roman" w:eastAsia="Times New Roman" w:hAnsi="Times New Roman"/>
          <w:color w:val="2E2E2E"/>
          <w:sz w:val="22"/>
          <w:szCs w:val="22"/>
        </w:rPr>
        <w:t xml:space="preserve">Housing allowances in particular carry weight in metropolitan postings, where accommodation costs consume a share of income that makes the difference between an affordable posting and an unaffordable one.</w:t>
      </w:r>
    </w:p>
    <w:p>
      <w:pPr>
        <w:spacing w:after="120" w:before="0" w:line="300"/>
        <w:jc w:val="both"/>
      </w:pPr>
      <w:r>
        <w:rPr>
          <w:rFonts w:ascii="Times New Roman" w:cs="Times New Roman" w:eastAsia="Times New Roman" w:hAnsi="Times New Roman"/>
          <w:color w:val="2E2E2E"/>
          <w:sz w:val="22"/>
          <w:szCs w:val="22"/>
        </w:rPr>
        <w:t xml:space="preserve">Local governments face their own fiscal constraints in adopting national personnel standards, and the pace at which prefectural and municipal bodies follow the October change will vary with their circumstances.</w:t>
      </w:r>
    </w:p>
    <w:p>
      <w:pPr>
        <w:spacing w:after="200" w:before="40"/>
        <w:jc w:val="right"/>
      </w:pPr>
      <w:r>
        <w:rPr>
          <w:rFonts w:ascii="Helvetica" w:cs="Helvetica" w:eastAsia="Helvetica" w:hAnsi="Helvetica"/>
          <w:i/>
          <w:iCs/>
          <w:color w:val="888888"/>
          <w:sz w:val="16"/>
          <w:szCs w:val="16"/>
        </w:rPr>
        <w:t xml:space="preserve">[364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Young Lawmakers Raise Detention of Japanese Citizens on Beijing Visit</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Young lawmakers from the Japan-China Parliamentary League visited China and conveyed concerns about the detention of Japanese citizens, according to Yomiuri Shimbun, raising in person an issue that has strained the bilateral relationship without ever quite dominating it.</w:t>
      </w:r>
    </w:p>
    <w:p>
      <w:pPr>
        <w:spacing w:after="120" w:before="0" w:line="300"/>
        <w:jc w:val="both"/>
      </w:pPr>
      <w:r>
        <w:rPr>
          <w:rFonts w:ascii="Times New Roman" w:cs="Times New Roman" w:eastAsia="Times New Roman" w:hAnsi="Times New Roman"/>
          <w:color w:val="2E2E2E"/>
          <w:sz w:val="22"/>
          <w:szCs w:val="22"/>
        </w:rPr>
        <w:t xml:space="preserve">The detention of Japanese nationals in China, typically on charges related to espionage or national security that Chinese authorities decline to specify publicly, has recurred over more than a decade and has proved resistant to quiet diplomacy.</w:t>
      </w:r>
    </w:p>
    <w:p>
      <w:pPr>
        <w:spacing w:after="120" w:before="0" w:line="300"/>
        <w:jc w:val="both"/>
      </w:pPr>
      <w:r>
        <w:rPr>
          <w:rFonts w:ascii="Times New Roman" w:cs="Times New Roman" w:eastAsia="Times New Roman" w:hAnsi="Times New Roman"/>
          <w:color w:val="2E2E2E"/>
          <w:sz w:val="22"/>
          <w:szCs w:val="22"/>
        </w:rPr>
        <w:t xml:space="preserve">Parliamentary leagues occupy a particular niche in Japan's China policy, providing a channel that operates alongside formal diplomacy and can raise matters that government-to-government contact handles awkwardly.</w:t>
      </w:r>
    </w:p>
    <w:p>
      <w:pPr>
        <w:spacing w:after="120" w:before="0" w:line="300"/>
        <w:jc w:val="both"/>
      </w:pPr>
      <w:r>
        <w:rPr>
          <w:rFonts w:ascii="Times New Roman" w:cs="Times New Roman" w:eastAsia="Times New Roman" w:hAnsi="Times New Roman"/>
          <w:color w:val="2E2E2E"/>
          <w:sz w:val="22"/>
          <w:szCs w:val="22"/>
        </w:rPr>
        <w:t xml:space="preserve">Sending younger members is itself a choice with a logic to it, building relationships intended to outlast the current leadership on both sides and signalling that the issue is not expected to be resolved quickly.</w:t>
      </w:r>
    </w:p>
    <w:p>
      <w:pPr>
        <w:spacing w:after="120" w:before="0" w:line="300"/>
        <w:jc w:val="both"/>
      </w:pPr>
      <w:r>
        <w:rPr>
          <w:rFonts w:ascii="Times New Roman" w:cs="Times New Roman" w:eastAsia="Times New Roman" w:hAnsi="Times New Roman"/>
          <w:color w:val="2E2E2E"/>
          <w:sz w:val="22"/>
          <w:szCs w:val="22"/>
        </w:rPr>
        <w:t xml:space="preserve">Chinese officials have generally responded to such representations by asserting that detentions are internal legal matters, a position that leaves Japanese interlocutors with limited leverage beyond persistence.</w:t>
      </w:r>
    </w:p>
    <w:p>
      <w:pPr>
        <w:spacing w:after="120" w:before="0" w:line="300"/>
        <w:jc w:val="both"/>
      </w:pPr>
      <w:r>
        <w:rPr>
          <w:rFonts w:ascii="Times New Roman" w:cs="Times New Roman" w:eastAsia="Times New Roman" w:hAnsi="Times New Roman"/>
          <w:color w:val="2E2E2E"/>
          <w:sz w:val="22"/>
          <w:szCs w:val="22"/>
        </w:rPr>
        <w:t xml:space="preserve">The visit comes as the broader relationship carries its own separate frictions, from territorial questions in the East China Sea to the technology export controls that have complicated commercial ties.</w:t>
      </w:r>
    </w:p>
    <w:p>
      <w:pPr>
        <w:spacing w:after="120" w:before="0" w:line="300"/>
        <w:jc w:val="both"/>
      </w:pPr>
      <w:r>
        <w:rPr>
          <w:rFonts w:ascii="Times New Roman" w:cs="Times New Roman" w:eastAsia="Times New Roman" w:hAnsi="Times New Roman"/>
          <w:color w:val="2E2E2E"/>
          <w:sz w:val="22"/>
          <w:szCs w:val="22"/>
        </w:rPr>
        <w:t xml:space="preserve">China's counter-espionage legislation, revised in recent years to broaden the definition of espionage, has heightened concern among Japanese businesses operating in the country, where employees have been detained in circumstances the authorities decline to detail publicly.</w:t>
      </w:r>
    </w:p>
    <w:p>
      <w:pPr>
        <w:spacing w:after="120" w:before="0" w:line="300"/>
        <w:jc w:val="both"/>
      </w:pPr>
      <w:r>
        <w:rPr>
          <w:rFonts w:ascii="Times New Roman" w:cs="Times New Roman" w:eastAsia="Times New Roman" w:hAnsi="Times New Roman"/>
          <w:color w:val="2E2E2E"/>
          <w:sz w:val="22"/>
          <w:szCs w:val="22"/>
        </w:rPr>
        <w:t xml:space="preserve">Japanese business associations have raised the issue persistently, noting that uncertainty about what conduct might attract scrutiny complicates ordinary commercial activity such as market research and data collection.</w:t>
      </w:r>
    </w:p>
    <w:p>
      <w:pPr>
        <w:spacing w:after="120" w:before="0" w:line="300"/>
        <w:jc w:val="both"/>
      </w:pPr>
      <w:r>
        <w:rPr>
          <w:rFonts w:ascii="Times New Roman" w:cs="Times New Roman" w:eastAsia="Times New Roman" w:hAnsi="Times New Roman"/>
          <w:color w:val="2E2E2E"/>
          <w:sz w:val="22"/>
          <w:szCs w:val="22"/>
        </w:rPr>
        <w:t xml:space="preserve">The detentions sit within a bilateral relationship that remains economically substantial regardless of political friction, with China among Japan's largest trading partners and Japanese manufacturers maintaining extensive operations there.</w:t>
      </w:r>
    </w:p>
    <w:p>
      <w:pPr>
        <w:spacing w:after="120" w:before="0" w:line="300"/>
        <w:jc w:val="both"/>
      </w:pPr>
      <w:r>
        <w:rPr>
          <w:rFonts w:ascii="Times New Roman" w:cs="Times New Roman" w:eastAsia="Times New Roman" w:hAnsi="Times New Roman"/>
          <w:color w:val="2E2E2E"/>
          <w:sz w:val="22"/>
          <w:szCs w:val="22"/>
        </w:rPr>
        <w:t xml:space="preserve">Parliamentary exchanges of this kind have continued through periods of considerable tension, functioning as one of the few channels that both sides have found politically sustainable to maintain.</w:t>
      </w:r>
    </w:p>
    <w:p>
      <w:pPr>
        <w:spacing w:after="120" w:before="0" w:line="300"/>
        <w:jc w:val="both"/>
      </w:pPr>
      <w:r>
        <w:rPr>
          <w:rFonts w:ascii="Times New Roman" w:cs="Times New Roman" w:eastAsia="Times New Roman" w:hAnsi="Times New Roman"/>
          <w:color w:val="2E2E2E"/>
          <w:sz w:val="22"/>
          <w:szCs w:val="22"/>
        </w:rPr>
        <w:t xml:space="preserve">Whether representations of this sort produce results is difficult to establish, since releases when they occur are not accompanied by explanations that would allow anyone to identify what prompted them.</w:t>
      </w:r>
    </w:p>
    <w:p>
      <w:pPr>
        <w:spacing w:after="200" w:before="40"/>
        <w:jc w:val="right"/>
      </w:pPr>
      <w:r>
        <w:rPr>
          <w:rFonts w:ascii="Helvetica" w:cs="Helvetica" w:eastAsia="Helvetica" w:hAnsi="Helvetica"/>
          <w:i/>
          <w:iCs/>
          <w:color w:val="888888"/>
          <w:sz w:val="16"/>
          <w:szCs w:val="16"/>
        </w:rPr>
        <w:t xml:space="preserve">[345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Ministry to Release Standard Land Prices Tuesday</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The Ministry of Land, Infrastructure, Transport and Tourism is scheduled to announce standard land prices Tuesday, according to Jiji.com, releasing the annual benchmark that anchors property valuation, taxation and a good deal of commercial negotiation across the country.</w:t>
      </w:r>
    </w:p>
    <w:p>
      <w:pPr>
        <w:spacing w:after="120" w:before="0" w:line="300"/>
        <w:jc w:val="both"/>
      </w:pPr>
      <w:r>
        <w:rPr>
          <w:rFonts w:ascii="Times New Roman" w:cs="Times New Roman" w:eastAsia="Times New Roman" w:hAnsi="Times New Roman"/>
          <w:color w:val="2E2E2E"/>
          <w:sz w:val="22"/>
          <w:szCs w:val="22"/>
        </w:rPr>
        <w:t xml:space="preserve">Standard land prices function as a reference point rather than a market price, but their influence is wide, feeding into inheritance tax assessments, compensation calculations and the expectations that buyers and sellers bring to the table.</w:t>
      </w:r>
    </w:p>
    <w:p>
      <w:pPr>
        <w:spacing w:after="120" w:before="0" w:line="300"/>
        <w:jc w:val="both"/>
      </w:pPr>
      <w:r>
        <w:rPr>
          <w:rFonts w:ascii="Times New Roman" w:cs="Times New Roman" w:eastAsia="Times New Roman" w:hAnsi="Times New Roman"/>
          <w:color w:val="2E2E2E"/>
          <w:sz w:val="22"/>
          <w:szCs w:val="22"/>
        </w:rPr>
        <w:t xml:space="preserve">This year's release arrives against an unusually active property backdrop, with metropolitan condominium prices having set records over the summer and regional land values diverging sharply between areas drawing semiconductor and tourism investment and those facing continued depopulation.</w:t>
      </w:r>
    </w:p>
    <w:p>
      <w:pPr>
        <w:spacing w:after="120" w:before="0" w:line="300"/>
        <w:jc w:val="both"/>
      </w:pPr>
      <w:r>
        <w:rPr>
          <w:rFonts w:ascii="Times New Roman" w:cs="Times New Roman" w:eastAsia="Times New Roman" w:hAnsi="Times New Roman"/>
          <w:color w:val="2E2E2E"/>
          <w:sz w:val="22"/>
          <w:szCs w:val="22"/>
        </w:rPr>
        <w:t xml:space="preserve">The figures also land in the same week as a probable Bank of Japan rate increase, which bears directly on the financing costs underpinning property demand and therefore on how durable any appreciation recorded in this year's numbers proves to be.</w:t>
      </w:r>
    </w:p>
    <w:p>
      <w:pPr>
        <w:spacing w:after="120" w:before="0" w:line="300"/>
        <w:jc w:val="both"/>
      </w:pPr>
      <w:r>
        <w:rPr>
          <w:rFonts w:ascii="Times New Roman" w:cs="Times New Roman" w:eastAsia="Times New Roman" w:hAnsi="Times New Roman"/>
          <w:color w:val="2E2E2E"/>
          <w:sz w:val="22"/>
          <w:szCs w:val="22"/>
        </w:rPr>
        <w:t xml:space="preserve">Regional variation is typically the most informative part of the release, since national averages conceal the growing distance between Japan's most dynamic local markets and its most challenged ones.</w:t>
      </w:r>
    </w:p>
    <w:p>
      <w:pPr>
        <w:spacing w:after="120" w:before="0" w:line="300"/>
        <w:jc w:val="both"/>
      </w:pPr>
      <w:r>
        <w:rPr>
          <w:rFonts w:ascii="Times New Roman" w:cs="Times New Roman" w:eastAsia="Times New Roman" w:hAnsi="Times New Roman"/>
          <w:color w:val="2E2E2E"/>
          <w:sz w:val="22"/>
          <w:szCs w:val="22"/>
        </w:rPr>
        <w:t xml:space="preserve">Detailed analysis of the figures will follow once the ministry publishes the full dataset later Tuesday.</w:t>
      </w:r>
    </w:p>
    <w:p>
      <w:pPr>
        <w:spacing w:after="120" w:before="0" w:line="300"/>
        <w:jc w:val="both"/>
      </w:pPr>
      <w:r>
        <w:rPr>
          <w:rFonts w:ascii="Times New Roman" w:cs="Times New Roman" w:eastAsia="Times New Roman" w:hAnsi="Times New Roman"/>
          <w:color w:val="2E2E2E"/>
          <w:sz w:val="22"/>
          <w:szCs w:val="22"/>
        </w:rPr>
        <w:t xml:space="preserve">Japan publishes several land price series that serve different purposes, including the January public notice prices and the July standard prices announced in September, a layering that reflects the various administrative uses the figures support.</w:t>
      </w:r>
    </w:p>
    <w:p>
      <w:pPr>
        <w:spacing w:after="120" w:before="0" w:line="300"/>
        <w:jc w:val="both"/>
      </w:pPr>
      <w:r>
        <w:rPr>
          <w:rFonts w:ascii="Times New Roman" w:cs="Times New Roman" w:eastAsia="Times New Roman" w:hAnsi="Times New Roman"/>
          <w:color w:val="2E2E2E"/>
          <w:sz w:val="22"/>
          <w:szCs w:val="22"/>
        </w:rPr>
        <w:t xml:space="preserve">Inheritance and gift tax assessments draw on related valuation series, which gives the figures direct financial consequence for households transferring property between generations, a significant matter in an ageing society.</w:t>
      </w:r>
    </w:p>
    <w:p>
      <w:pPr>
        <w:spacing w:after="120" w:before="0" w:line="300"/>
        <w:jc w:val="both"/>
      </w:pPr>
      <w:r>
        <w:rPr>
          <w:rFonts w:ascii="Times New Roman" w:cs="Times New Roman" w:eastAsia="Times New Roman" w:hAnsi="Times New Roman"/>
          <w:color w:val="2E2E2E"/>
          <w:sz w:val="22"/>
          <w:szCs w:val="22"/>
        </w:rPr>
        <w:t xml:space="preserve">Commercial land values in the major metropolitan districts have been supported by office demand and by inbound tourism's effect on retail and hotel sites, a combination that has produced sustained appreciation in specific submarkets.</w:t>
      </w:r>
    </w:p>
    <w:p>
      <w:pPr>
        <w:spacing w:after="120" w:before="0" w:line="300"/>
        <w:jc w:val="both"/>
      </w:pPr>
      <w:r>
        <w:rPr>
          <w:rFonts w:ascii="Times New Roman" w:cs="Times New Roman" w:eastAsia="Times New Roman" w:hAnsi="Times New Roman"/>
          <w:color w:val="2E2E2E"/>
          <w:sz w:val="22"/>
          <w:szCs w:val="22"/>
        </w:rPr>
        <w:t xml:space="preserve">Residential land tells a more divided story, with metropolitan convenience commanding premiums while areas distant from employment centres and transport links have continued to weaken.</w:t>
      </w:r>
    </w:p>
    <w:p>
      <w:pPr>
        <w:spacing w:after="120" w:before="0" w:line="300"/>
        <w:jc w:val="both"/>
      </w:pPr>
      <w:r>
        <w:rPr>
          <w:rFonts w:ascii="Times New Roman" w:cs="Times New Roman" w:eastAsia="Times New Roman" w:hAnsi="Times New Roman"/>
          <w:color w:val="2E2E2E"/>
          <w:sz w:val="22"/>
          <w:szCs w:val="22"/>
        </w:rPr>
        <w:t xml:space="preserve">The vacant housing problem sits at the far end of that distribution, where properties and the land beneath them have fallen to values at which conventional transactions barely occur.</w:t>
      </w:r>
    </w:p>
    <w:p>
      <w:pPr>
        <w:spacing w:after="200" w:before="40"/>
        <w:jc w:val="right"/>
      </w:pPr>
      <w:r>
        <w:rPr>
          <w:rFonts w:ascii="Helvetica" w:cs="Helvetica" w:eastAsia="Helvetica" w:hAnsi="Helvetica"/>
          <w:i/>
          <w:iCs/>
          <w:color w:val="888888"/>
          <w:sz w:val="16"/>
          <w:szCs w:val="16"/>
        </w:rPr>
        <w:t xml:space="preserve">[351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Reshuffle and Rate Decision Set to Land in the Same 48 Hours</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The cabinet reshuffle expected around the 17th coincides almost exactly with the Bank of Japan's policy meeting on the 17th and 18th, placing a new ministerial lineup and a probable interest rate increase into the same news cycle.</w:t>
      </w:r>
    </w:p>
    <w:p>
      <w:pPr>
        <w:spacing w:after="120" w:before="0" w:line="300"/>
        <w:jc w:val="both"/>
      </w:pPr>
      <w:r>
        <w:rPr>
          <w:rFonts w:ascii="Times New Roman" w:cs="Times New Roman" w:eastAsia="Times New Roman" w:hAnsi="Times New Roman"/>
          <w:color w:val="2E2E2E"/>
          <w:sz w:val="22"/>
          <w:szCs w:val="22"/>
        </w:rPr>
        <w:t xml:space="preserve">Governments generally prefer to separate announcements of this weight, since two major stories competing for attention means neither receives the coverage its authors intended.</w:t>
      </w:r>
    </w:p>
    <w:p>
      <w:pPr>
        <w:spacing w:after="120" w:before="0" w:line="300"/>
        <w:jc w:val="both"/>
      </w:pPr>
      <w:r>
        <w:rPr>
          <w:rFonts w:ascii="Times New Roman" w:cs="Times New Roman" w:eastAsia="Times New Roman" w:hAnsi="Times New Roman"/>
          <w:color w:val="2E2E2E"/>
          <w:sz w:val="22"/>
          <w:szCs w:val="22"/>
        </w:rPr>
        <w:t xml:space="preserve">There is a defensible logic to the collision even so. A reshuffle completed before a rate decision puts the incoming finance and economy ministers in place for whatever market reaction follows, rather than leaving the handover to occur mid-episode.</w:t>
      </w:r>
    </w:p>
    <w:p>
      <w:pPr>
        <w:spacing w:after="120" w:before="0" w:line="300"/>
        <w:jc w:val="both"/>
      </w:pPr>
      <w:r>
        <w:rPr>
          <w:rFonts w:ascii="Times New Roman" w:cs="Times New Roman" w:eastAsia="Times New Roman" w:hAnsi="Times New Roman"/>
          <w:color w:val="2E2E2E"/>
          <w:sz w:val="22"/>
          <w:szCs w:val="22"/>
        </w:rPr>
        <w:t xml:space="preserve">The Japan Innovation Party's first cabinet appointment gives the reshuffle significance beyond personnel, converting a coalition arrangement into shared executive responsibility at the moment monetary policy turns.</w:t>
      </w:r>
    </w:p>
    <w:p>
      <w:pPr>
        <w:spacing w:after="120" w:before="0" w:line="300"/>
        <w:jc w:val="both"/>
      </w:pPr>
      <w:r>
        <w:rPr>
          <w:rFonts w:ascii="Times New Roman" w:cs="Times New Roman" w:eastAsia="Times New Roman" w:hAnsi="Times New Roman"/>
          <w:color w:val="2E2E2E"/>
          <w:sz w:val="22"/>
          <w:szCs w:val="22"/>
        </w:rPr>
        <w:t xml:space="preserve">The market has almost fully priced a Bank of Japan move to 1.25%, which reduces the risk that a new economic team faces a genuine surprise in its opening hours.</w:t>
      </w:r>
    </w:p>
    <w:p>
      <w:pPr>
        <w:spacing w:after="120" w:before="0" w:line="300"/>
        <w:jc w:val="both"/>
      </w:pPr>
      <w:r>
        <w:rPr>
          <w:rFonts w:ascii="Times New Roman" w:cs="Times New Roman" w:eastAsia="Times New Roman" w:hAnsi="Times New Roman"/>
          <w:color w:val="2E2E2E"/>
          <w:sz w:val="22"/>
          <w:szCs w:val="22"/>
        </w:rPr>
        <w:t xml:space="preserve">How the reshuffled cabinet handles its first week, with a rate rise, a consumption tax measure and elevated energy costs all live, will shape early judgments about it more than the appointments themselves.</w:t>
      </w:r>
    </w:p>
    <w:p>
      <w:pPr>
        <w:spacing w:after="120" w:before="0" w:line="300"/>
        <w:jc w:val="both"/>
      </w:pPr>
      <w:r>
        <w:rPr>
          <w:rFonts w:ascii="Times New Roman" w:cs="Times New Roman" w:eastAsia="Times New Roman" w:hAnsi="Times New Roman"/>
          <w:color w:val="2E2E2E"/>
          <w:sz w:val="22"/>
          <w:szCs w:val="22"/>
        </w:rPr>
        <w:t xml:space="preserve">Cabinet reshuffles in Japan serve several purposes at once, rewarding factional balance, refreshing portfolios that have accumulated difficulty, and signalling priorities for the parliamentary session ahead.</w:t>
      </w:r>
    </w:p>
    <w:p>
      <w:pPr>
        <w:spacing w:after="120" w:before="0" w:line="300"/>
        <w:jc w:val="both"/>
      </w:pPr>
      <w:r>
        <w:rPr>
          <w:rFonts w:ascii="Times New Roman" w:cs="Times New Roman" w:eastAsia="Times New Roman" w:hAnsi="Times New Roman"/>
          <w:color w:val="2E2E2E"/>
          <w:sz w:val="22"/>
          <w:szCs w:val="22"/>
        </w:rPr>
        <w:t xml:space="preserve">The finance and economy portfolios carry particular weight in a week when monetary policy turns, since the ministers holding them will be the government's public interface for whatever market reaction follows.</w:t>
      </w:r>
    </w:p>
    <w:p>
      <w:pPr>
        <w:spacing w:after="120" w:before="0" w:line="300"/>
        <w:jc w:val="both"/>
      </w:pPr>
      <w:r>
        <w:rPr>
          <w:rFonts w:ascii="Times New Roman" w:cs="Times New Roman" w:eastAsia="Times New Roman" w:hAnsi="Times New Roman"/>
          <w:color w:val="2E2E2E"/>
          <w:sz w:val="22"/>
          <w:szCs w:val="22"/>
        </w:rPr>
        <w:t xml:space="preserve">An extraordinary Diet session is expected to follow the reshuffle, at which the tax reform outline approved Tuesday will require legislative processing alongside the rest of the government's programme.</w:t>
      </w:r>
    </w:p>
    <w:p>
      <w:pPr>
        <w:spacing w:after="120" w:before="0" w:line="300"/>
        <w:jc w:val="both"/>
      </w:pPr>
      <w:r>
        <w:rPr>
          <w:rFonts w:ascii="Times New Roman" w:cs="Times New Roman" w:eastAsia="Times New Roman" w:hAnsi="Times New Roman"/>
          <w:color w:val="2E2E2E"/>
          <w:sz w:val="22"/>
          <w:szCs w:val="22"/>
        </w:rPr>
        <w:t xml:space="preserve">Opposition parties typically use the period immediately after a reshuffle to test new ministers in committee, where unfamiliarity with a brief can produce the kind of exchange that shapes a minister's standing for months.</w:t>
      </w:r>
    </w:p>
    <w:p>
      <w:pPr>
        <w:spacing w:after="120" w:before="0" w:line="300"/>
        <w:jc w:val="both"/>
      </w:pPr>
      <w:r>
        <w:rPr>
          <w:rFonts w:ascii="Times New Roman" w:cs="Times New Roman" w:eastAsia="Times New Roman" w:hAnsi="Times New Roman"/>
          <w:color w:val="2E2E2E"/>
          <w:sz w:val="22"/>
          <w:szCs w:val="22"/>
        </w:rPr>
        <w:t xml:space="preserve">For the coalition, completing the reshuffle before the rate decision avoids the alternative scenario in which a handover occurs while markets are still absorbing a policy change.</w:t>
      </w:r>
    </w:p>
    <w:p>
      <w:pPr>
        <w:spacing w:after="200" w:before="40"/>
        <w:jc w:val="right"/>
      </w:pPr>
      <w:r>
        <w:rPr>
          <w:rFonts w:ascii="Helvetica" w:cs="Helvetica" w:eastAsia="Helvetica" w:hAnsi="Helvetica"/>
          <w:i/>
          <w:iCs/>
          <w:color w:val="888888"/>
          <w:sz w:val="16"/>
          <w:szCs w:val="16"/>
        </w:rPr>
        <w:t xml:space="preserve">[338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Okinawa Development Budget Set to Exceed ¥300 Billion</w:t>
      </w:r>
    </w:p>
    <w:p>
      <w:pPr>
        <w:pBdr>
          <w:bottom w:val="single" w:color="CCCCCC" w:sz="4"/>
        </w:pBdr>
        <w:spacing w:after="120" w:before="40"/>
      </w:pPr>
      <w:r>
        <w:rPr>
          <w:rFonts w:ascii="Helvetica" w:cs="Helvetica" w:eastAsia="Helvetica" w:hAnsi="Helvetica"/>
          <w:i/>
          <w:iCs/>
          <w:color w:val="888888"/>
          <w:sz w:val="18"/>
          <w:szCs w:val="18"/>
        </w:rPr>
        <w:t xml:space="preserve">By Aiko Tanaka | Senior Japan Correspondent, Tokyo Bureau</w:t>
      </w:r>
    </w:p>
    <w:p>
      <w:pPr>
        <w:spacing w:after="120" w:before="0" w:line="300"/>
        <w:jc w:val="both"/>
      </w:pPr>
      <w:r>
        <w:rPr>
          <w:rFonts w:ascii="Times New Roman" w:cs="Times New Roman" w:eastAsia="Times New Roman" w:hAnsi="Times New Roman"/>
          <w:color w:val="2E2E2E"/>
          <w:sz w:val="22"/>
          <w:szCs w:val="22"/>
        </w:rPr>
        <w:t xml:space="preserve">The Okinawa development budget is being adjusted to exceed 300 billion yen following the election of a governor who accepts the Henoko relocation, according to reports carried by Kyodo News.</w:t>
      </w:r>
    </w:p>
    <w:p>
      <w:pPr>
        <w:spacing w:after="120" w:before="0" w:line="300"/>
        <w:jc w:val="both"/>
      </w:pPr>
      <w:r>
        <w:rPr>
          <w:rFonts w:ascii="Times New Roman" w:cs="Times New Roman" w:eastAsia="Times New Roman" w:hAnsi="Times New Roman"/>
          <w:color w:val="2E2E2E"/>
          <w:sz w:val="22"/>
          <w:szCs w:val="22"/>
        </w:rPr>
        <w:t xml:space="preserve">Okinawa's development budget has been a recurring instrument in the relationship between the prefecture and the central government for decades, and its level has tracked, imperfectly but visibly, the state of political relations between them.</w:t>
      </w:r>
    </w:p>
    <w:p>
      <w:pPr>
        <w:spacing w:after="120" w:before="0" w:line="300"/>
        <w:jc w:val="both"/>
      </w:pPr>
      <w:r>
        <w:rPr>
          <w:rFonts w:ascii="Times New Roman" w:cs="Times New Roman" w:eastAsia="Times New Roman" w:hAnsi="Times New Roman"/>
          <w:color w:val="2E2E2E"/>
          <w:sz w:val="22"/>
          <w:szCs w:val="22"/>
        </w:rPr>
        <w:t xml:space="preserve">Supporters of the adjustment frame it as the natural consequence of ending twelve years of litigation and confrontation, on the view that cooperative administration is simply cheaper to fund than adversarial administration.</w:t>
      </w:r>
    </w:p>
    <w:p>
      <w:pPr>
        <w:spacing w:after="120" w:before="0" w:line="300"/>
        <w:jc w:val="both"/>
      </w:pPr>
      <w:r>
        <w:rPr>
          <w:rFonts w:ascii="Times New Roman" w:cs="Times New Roman" w:eastAsia="Times New Roman" w:hAnsi="Times New Roman"/>
          <w:color w:val="2E2E2E"/>
          <w:sz w:val="22"/>
          <w:szCs w:val="22"/>
        </w:rPr>
        <w:t xml:space="preserve">Critics read the same figure as confirmation of a transactional relationship in which prefectural accommodation on the base question is rewarded in budget lines, an interpretation the timing makes difficult to dismiss outright.</w:t>
      </w:r>
    </w:p>
    <w:p>
      <w:pPr>
        <w:spacing w:after="120" w:before="0" w:line="300"/>
        <w:jc w:val="both"/>
      </w:pPr>
      <w:r>
        <w:rPr>
          <w:rFonts w:ascii="Times New Roman" w:cs="Times New Roman" w:eastAsia="Times New Roman" w:hAnsi="Times New Roman"/>
          <w:color w:val="2E2E2E"/>
          <w:sz w:val="22"/>
          <w:szCs w:val="22"/>
        </w:rPr>
        <w:t xml:space="preserve">The practical question is what the money funds. Infrastructure, tourism promotion and industrial development have absorbed previous allocations, with results that Okinawan economists have assessed as mixed against the prefecture's persistent income gap with the national average.</w:t>
      </w:r>
    </w:p>
    <w:p>
      <w:pPr>
        <w:spacing w:after="120" w:before="0" w:line="300"/>
        <w:jc w:val="both"/>
      </w:pPr>
      <w:r>
        <w:rPr>
          <w:rFonts w:ascii="Times New Roman" w:cs="Times New Roman" w:eastAsia="Times New Roman" w:hAnsi="Times New Roman"/>
          <w:color w:val="2E2E2E"/>
          <w:sz w:val="22"/>
          <w:szCs w:val="22"/>
        </w:rPr>
        <w:t xml:space="preserve">Incoming Governor Genta Koja campaigned on diversifying the prefectural economy away from tourism dependence, which gives the additional funding a stated purpose beyond its symbolic role in the relationship with Tokyo.</w:t>
      </w:r>
    </w:p>
    <w:p>
      <w:pPr>
        <w:spacing w:after="120" w:before="0" w:line="300"/>
        <w:jc w:val="both"/>
      </w:pPr>
      <w:r>
        <w:rPr>
          <w:rFonts w:ascii="Times New Roman" w:cs="Times New Roman" w:eastAsia="Times New Roman" w:hAnsi="Times New Roman"/>
          <w:color w:val="2E2E2E"/>
          <w:sz w:val="22"/>
          <w:szCs w:val="22"/>
        </w:rPr>
        <w:t xml:space="preserve">Okinawa's development budget operates under a dedicated legal framework distinct from ordinary regional allocations, reflecting the prefecture's particular postwar circumstances and the period of American administration that ended in 1972.</w:t>
      </w:r>
    </w:p>
    <w:p>
      <w:pPr>
        <w:spacing w:after="120" w:before="0" w:line="300"/>
        <w:jc w:val="both"/>
      </w:pPr>
      <w:r>
        <w:rPr>
          <w:rFonts w:ascii="Times New Roman" w:cs="Times New Roman" w:eastAsia="Times New Roman" w:hAnsi="Times New Roman"/>
          <w:color w:val="2E2E2E"/>
          <w:sz w:val="22"/>
          <w:szCs w:val="22"/>
        </w:rPr>
        <w:t xml:space="preserve">Successive promotion plans have channelled funds toward infrastructure, industrial development and education, with periodic assessments finding uneven results against the persistent income gap the programmes were intended to close.</w:t>
      </w:r>
    </w:p>
    <w:p>
      <w:pPr>
        <w:spacing w:after="120" w:before="0" w:line="300"/>
        <w:jc w:val="both"/>
      </w:pPr>
      <w:r>
        <w:rPr>
          <w:rFonts w:ascii="Times New Roman" w:cs="Times New Roman" w:eastAsia="Times New Roman" w:hAnsi="Times New Roman"/>
          <w:color w:val="2E2E2E"/>
          <w:sz w:val="22"/>
          <w:szCs w:val="22"/>
        </w:rPr>
        <w:t xml:space="preserve">Tourism has been the clearest success, with visitor numbers growing substantially over decades, though the sector's wage levels and seasonal patterns have limited how far that growth translates into household income.</w:t>
      </w:r>
    </w:p>
    <w:p>
      <w:pPr>
        <w:spacing w:after="120" w:before="0" w:line="300"/>
        <w:jc w:val="both"/>
      </w:pPr>
      <w:r>
        <w:rPr>
          <w:rFonts w:ascii="Times New Roman" w:cs="Times New Roman" w:eastAsia="Times New Roman" w:hAnsi="Times New Roman"/>
          <w:color w:val="2E2E2E"/>
          <w:sz w:val="22"/>
          <w:szCs w:val="22"/>
        </w:rPr>
        <w:t xml:space="preserve">Critics of the framework have argued that its structure encourages construction-weighted spending over the human capital and industrial development that would more durably raise incomes.</w:t>
      </w:r>
    </w:p>
    <w:p>
      <w:pPr>
        <w:spacing w:after="120" w:before="0" w:line="300"/>
        <w:jc w:val="both"/>
      </w:pPr>
      <w:r>
        <w:rPr>
          <w:rFonts w:ascii="Times New Roman" w:cs="Times New Roman" w:eastAsia="Times New Roman" w:hAnsi="Times New Roman"/>
          <w:color w:val="2E2E2E"/>
          <w:sz w:val="22"/>
          <w:szCs w:val="22"/>
        </w:rPr>
        <w:t xml:space="preserve">The incoming governor's stated diversification priority will be tested against exactly that pattern, since redirecting an established funding structure toward different ends is considerably harder than announcing the intention to do so.</w:t>
      </w:r>
    </w:p>
    <w:p>
      <w:pPr>
        <w:spacing w:after="200" w:before="40"/>
        <w:jc w:val="right"/>
      </w:pPr>
      <w:r>
        <w:rPr>
          <w:rFonts w:ascii="Helvetica" w:cs="Helvetica" w:eastAsia="Helvetica" w:hAnsi="Helvetica"/>
          <w:i/>
          <w:iCs/>
          <w:color w:val="888888"/>
          <w:sz w:val="16"/>
          <w:szCs w:val="16"/>
        </w:rPr>
        <w:t xml:space="preserve">[345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Naha Begins Transition as Twelve Years of All-Okinawa Rule End</w:t>
      </w:r>
    </w:p>
    <w:p>
      <w:pPr>
        <w:pBdr>
          <w:bottom w:val="single" w:color="CCCCCC" w:sz="4"/>
        </w:pBdr>
        <w:spacing w:after="120" w:before="40"/>
      </w:pPr>
      <w:r>
        <w:rPr>
          <w:rFonts w:ascii="Helvetica" w:cs="Helvetica" w:eastAsia="Helvetica" w:hAnsi="Helvetica"/>
          <w:i/>
          <w:iCs/>
          <w:color w:val="888888"/>
          <w:sz w:val="18"/>
          <w:szCs w:val="18"/>
        </w:rPr>
        <w:t xml:space="preserve">By Aiko Tanaka | Senior Japan Correspondent, Tokyo Bureau</w:t>
      </w:r>
    </w:p>
    <w:p>
      <w:pPr>
        <w:spacing w:after="120" w:before="0" w:line="300"/>
        <w:jc w:val="both"/>
      </w:pPr>
      <w:r>
        <w:rPr>
          <w:rFonts w:ascii="Times New Roman" w:cs="Times New Roman" w:eastAsia="Times New Roman" w:hAnsi="Times New Roman"/>
          <w:color w:val="2E2E2E"/>
          <w:sz w:val="22"/>
          <w:szCs w:val="22"/>
        </w:rPr>
        <w:t xml:space="preserve">Prefectural offices in Naha have begun the handover to Genta Koja's incoming administration, ending twelve years in which the governorship was held by the All-Okinawa coalition and its predecessors.</w:t>
      </w:r>
    </w:p>
    <w:p>
      <w:pPr>
        <w:spacing w:after="120" w:before="0" w:line="300"/>
        <w:jc w:val="both"/>
      </w:pPr>
      <w:r>
        <w:rPr>
          <w:rFonts w:ascii="Times New Roman" w:cs="Times New Roman" w:eastAsia="Times New Roman" w:hAnsi="Times New Roman"/>
          <w:color w:val="2E2E2E"/>
          <w:sz w:val="22"/>
          <w:szCs w:val="22"/>
        </w:rPr>
        <w:t xml:space="preserve">A change of this length brings practical complications beyond the political ones. Senior prefectural staff have spent more than a decade implementing priorities that the incoming governor was elected to change, and the working relationships built around those priorities do not transfer automatically.</w:t>
      </w:r>
    </w:p>
    <w:p>
      <w:pPr>
        <w:spacing w:after="120" w:before="0" w:line="300"/>
        <w:jc w:val="both"/>
      </w:pPr>
      <w:r>
        <w:rPr>
          <w:rFonts w:ascii="Times New Roman" w:cs="Times New Roman" w:eastAsia="Times New Roman" w:hAnsi="Times New Roman"/>
          <w:color w:val="2E2E2E"/>
          <w:sz w:val="22"/>
          <w:szCs w:val="22"/>
        </w:rPr>
        <w:t xml:space="preserve">The base question is where the reversal is sharpest. A prefectural government that has spent twelve years contesting the Henoko relocation through permits, litigation and public advocacy now answers to a governor who accepts it.</w:t>
      </w:r>
    </w:p>
    <w:p>
      <w:pPr>
        <w:spacing w:after="120" w:before="0" w:line="300"/>
        <w:jc w:val="both"/>
      </w:pPr>
      <w:r>
        <w:rPr>
          <w:rFonts w:ascii="Times New Roman" w:cs="Times New Roman" w:eastAsia="Times New Roman" w:hAnsi="Times New Roman"/>
          <w:color w:val="2E2E2E"/>
          <w:sz w:val="22"/>
          <w:szCs w:val="22"/>
        </w:rPr>
        <w:t xml:space="preserve">Personnel decisions in the coming weeks will indicate how far the new administration intends to go in reshaping the prefectural bureaucracy, as against working with the structure it inherits.</w:t>
      </w:r>
    </w:p>
    <w:p>
      <w:pPr>
        <w:spacing w:after="120" w:before="0" w:line="300"/>
        <w:jc w:val="both"/>
      </w:pPr>
      <w:r>
        <w:rPr>
          <w:rFonts w:ascii="Times New Roman" w:cs="Times New Roman" w:eastAsia="Times New Roman" w:hAnsi="Times New Roman"/>
          <w:color w:val="2E2E2E"/>
          <w:sz w:val="22"/>
          <w:szCs w:val="22"/>
        </w:rPr>
        <w:t xml:space="preserve">The prefectural assembly was not on Sunday's ballot, and its composition will determine how readily Koja's legislative programme proceeds.</w:t>
      </w:r>
    </w:p>
    <w:p>
      <w:pPr>
        <w:spacing w:after="120" w:before="0" w:line="300"/>
        <w:jc w:val="both"/>
      </w:pPr>
      <w:r>
        <w:rPr>
          <w:rFonts w:ascii="Times New Roman" w:cs="Times New Roman" w:eastAsia="Times New Roman" w:hAnsi="Times New Roman"/>
          <w:color w:val="2E2E2E"/>
          <w:sz w:val="22"/>
          <w:szCs w:val="22"/>
        </w:rPr>
        <w:t xml:space="preserve">Transitions of this kind in Okinawa have historically taken several weeks to complete, with routine public services continuing uninterrupted throughout.</w:t>
      </w:r>
    </w:p>
    <w:p>
      <w:pPr>
        <w:spacing w:after="120" w:before="0" w:line="300"/>
        <w:jc w:val="both"/>
      </w:pPr>
      <w:r>
        <w:rPr>
          <w:rFonts w:ascii="Times New Roman" w:cs="Times New Roman" w:eastAsia="Times New Roman" w:hAnsi="Times New Roman"/>
          <w:color w:val="2E2E2E"/>
          <w:sz w:val="22"/>
          <w:szCs w:val="22"/>
        </w:rPr>
        <w:t xml:space="preserve">Prefectural governments in Japan carry substantial administrative weight, managing budgets, education, infrastructure and economic development programmes that continue regardless of which political coalition holds the governorship.</w:t>
      </w:r>
    </w:p>
    <w:p>
      <w:pPr>
        <w:spacing w:after="120" w:before="0" w:line="300"/>
        <w:jc w:val="both"/>
      </w:pPr>
      <w:r>
        <w:rPr>
          <w:rFonts w:ascii="Times New Roman" w:cs="Times New Roman" w:eastAsia="Times New Roman" w:hAnsi="Times New Roman"/>
          <w:color w:val="2E2E2E"/>
          <w:sz w:val="22"/>
          <w:szCs w:val="22"/>
        </w:rPr>
        <w:t xml:space="preserve">Okinawa's prefectural administration additionally handles matters arising from the American military presence, including land use, noise complaints and the compensation arrangements that accompany base operations, a workload no other prefecture carries at comparable scale.</w:t>
      </w:r>
    </w:p>
    <w:p>
      <w:pPr>
        <w:spacing w:after="120" w:before="0" w:line="300"/>
        <w:jc w:val="both"/>
      </w:pPr>
      <w:r>
        <w:rPr>
          <w:rFonts w:ascii="Times New Roman" w:cs="Times New Roman" w:eastAsia="Times New Roman" w:hAnsi="Times New Roman"/>
          <w:color w:val="2E2E2E"/>
          <w:sz w:val="22"/>
          <w:szCs w:val="22"/>
        </w:rPr>
        <w:t xml:space="preserve">The outgoing administration's legal positions in ongoing base-related proceedings will require review by the incoming governor, since the prefecture is a party to litigation whose continuation is now a matter of gubernatorial discretion.</w:t>
      </w:r>
    </w:p>
    <w:p>
      <w:pPr>
        <w:spacing w:after="120" w:before="0" w:line="300"/>
        <w:jc w:val="both"/>
      </w:pPr>
      <w:r>
        <w:rPr>
          <w:rFonts w:ascii="Times New Roman" w:cs="Times New Roman" w:eastAsia="Times New Roman" w:hAnsi="Times New Roman"/>
          <w:color w:val="2E2E2E"/>
          <w:sz w:val="22"/>
          <w:szCs w:val="22"/>
        </w:rPr>
        <w:t xml:space="preserve">Prefectural staff themselves are career officials rather than political appointees, and the institutional continuity they provide is what allows administration to function through a change of this kind.</w:t>
      </w:r>
    </w:p>
    <w:p>
      <w:pPr>
        <w:spacing w:after="120" w:before="0" w:line="300"/>
        <w:jc w:val="both"/>
      </w:pPr>
      <w:r>
        <w:rPr>
          <w:rFonts w:ascii="Times New Roman" w:cs="Times New Roman" w:eastAsia="Times New Roman" w:hAnsi="Times New Roman"/>
          <w:color w:val="2E2E2E"/>
          <w:sz w:val="22"/>
          <w:szCs w:val="22"/>
        </w:rPr>
        <w:t xml:space="preserve">Local media in Okinawa, which has covered the base question with an intensity unmatched elsewhere in Japan, will scrutinise early decisions closely for indications of how far the stated change in approach extends in practice.</w:t>
      </w:r>
    </w:p>
    <w:p>
      <w:pPr>
        <w:spacing w:after="200" w:before="40"/>
        <w:jc w:val="right"/>
      </w:pPr>
      <w:r>
        <w:rPr>
          <w:rFonts w:ascii="Helvetica" w:cs="Helvetica" w:eastAsia="Helvetica" w:hAnsi="Helvetica"/>
          <w:i/>
          <w:iCs/>
          <w:color w:val="888888"/>
          <w:sz w:val="16"/>
          <w:szCs w:val="16"/>
        </w:rPr>
        <w:t xml:space="preserve">[331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Reshuffle Sets Up an Extraordinary Diet Session With a Full Agenda</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The cabinet reshuffle expected around the 17th will be followed by an extraordinary session of the Diet, and the legislative agenda awaiting it is heavier than a mid-term session usually carries.</w:t>
      </w:r>
    </w:p>
    <w:p>
      <w:pPr>
        <w:spacing w:after="120" w:before="0" w:line="300"/>
        <w:jc w:val="both"/>
      </w:pPr>
      <w:r>
        <w:rPr>
          <w:rFonts w:ascii="Times New Roman" w:cs="Times New Roman" w:eastAsia="Times New Roman" w:hAnsi="Times New Roman"/>
          <w:color w:val="2E2E2E"/>
          <w:sz w:val="22"/>
          <w:szCs w:val="22"/>
        </w:rPr>
        <w:t xml:space="preserve">The consumption tax outline approved by cabinet on Tuesday requires legislation before the April 2027 start date, and a measure cutting the food rate from 8% to 1% will not pass without extended debate.</w:t>
      </w:r>
    </w:p>
    <w:p>
      <w:pPr>
        <w:spacing w:after="120" w:before="0" w:line="300"/>
        <w:jc w:val="both"/>
      </w:pPr>
      <w:r>
        <w:rPr>
          <w:rFonts w:ascii="Times New Roman" w:cs="Times New Roman" w:eastAsia="Times New Roman" w:hAnsi="Times New Roman"/>
          <w:color w:val="2E2E2E"/>
          <w:sz w:val="22"/>
          <w:szCs w:val="22"/>
        </w:rPr>
        <w:t xml:space="preserve">Opposition parties face a tactical choice on it. Voting against a tax cut on food is difficult to explain to voters; voting for a coalition measure hands the government a shared achievement.</w:t>
      </w:r>
    </w:p>
    <w:p>
      <w:pPr>
        <w:spacing w:after="120" w:before="0" w:line="300"/>
        <w:jc w:val="both"/>
      </w:pPr>
      <w:r>
        <w:rPr>
          <w:rFonts w:ascii="Times New Roman" w:cs="Times New Roman" w:eastAsia="Times New Roman" w:hAnsi="Times New Roman"/>
          <w:color w:val="2E2E2E"/>
          <w:sz w:val="22"/>
          <w:szCs w:val="22"/>
        </w:rPr>
        <w:t xml:space="preserve">Supplementary budget questions will follow the energy price situation, with elevated crude and the delayed nuclear restart both bearing on household electricity costs and on the political demand for relief.</w:t>
      </w:r>
    </w:p>
    <w:p>
      <w:pPr>
        <w:spacing w:after="120" w:before="0" w:line="300"/>
        <w:jc w:val="both"/>
      </w:pPr>
      <w:r>
        <w:rPr>
          <w:rFonts w:ascii="Times New Roman" w:cs="Times New Roman" w:eastAsia="Times New Roman" w:hAnsi="Times New Roman"/>
          <w:color w:val="2E2E2E"/>
          <w:sz w:val="22"/>
          <w:szCs w:val="22"/>
        </w:rPr>
        <w:t xml:space="preserve">The Ishin appointment to cabinet gives the coalition a broader base in the chamber but also a partner whose parliamentary caucus has its own priorities on administrative reform.</w:t>
      </w:r>
    </w:p>
    <w:p>
      <w:pPr>
        <w:spacing w:after="120" w:before="0" w:line="300"/>
        <w:jc w:val="both"/>
      </w:pPr>
      <w:r>
        <w:rPr>
          <w:rFonts w:ascii="Times New Roman" w:cs="Times New Roman" w:eastAsia="Times New Roman" w:hAnsi="Times New Roman"/>
          <w:color w:val="2E2E2E"/>
          <w:sz w:val="22"/>
          <w:szCs w:val="22"/>
        </w:rPr>
        <w:t xml:space="preserve">Defence and security legislation continues its own track, with the strategic documents revision proceeding under a timeline the ministry has described as accelerated.</w:t>
      </w:r>
    </w:p>
    <w:p>
      <w:pPr>
        <w:spacing w:after="120" w:before="0" w:line="300"/>
        <w:jc w:val="both"/>
      </w:pPr>
      <w:r>
        <w:rPr>
          <w:rFonts w:ascii="Times New Roman" w:cs="Times New Roman" w:eastAsia="Times New Roman" w:hAnsi="Times New Roman"/>
          <w:color w:val="2E2E2E"/>
          <w:sz w:val="22"/>
          <w:szCs w:val="22"/>
        </w:rPr>
        <w:t xml:space="preserve">Committee scrutiny of new ministers is where extraordinary sessions frequently produce their most consequential moments, as unfamiliarity with a brief can shape a minister's standing for months.</w:t>
      </w:r>
    </w:p>
    <w:p>
      <w:pPr>
        <w:spacing w:after="120" w:before="0" w:line="300"/>
        <w:jc w:val="both"/>
      </w:pPr>
      <w:r>
        <w:rPr>
          <w:rFonts w:ascii="Times New Roman" w:cs="Times New Roman" w:eastAsia="Times New Roman" w:hAnsi="Times New Roman"/>
          <w:color w:val="2E2E2E"/>
          <w:sz w:val="22"/>
          <w:szCs w:val="22"/>
        </w:rPr>
        <w:t xml:space="preserve">The Constitutional Democratic Party's own reorganisation, with its centrist faction dissolving and a new party name in prospect, means the principal opposition enters the session mid-transition.</w:t>
      </w:r>
    </w:p>
    <w:p>
      <w:pPr>
        <w:spacing w:after="120" w:before="0" w:line="300"/>
        <w:jc w:val="both"/>
      </w:pPr>
      <w:r>
        <w:rPr>
          <w:rFonts w:ascii="Times New Roman" w:cs="Times New Roman" w:eastAsia="Times New Roman" w:hAnsi="Times New Roman"/>
          <w:color w:val="2E2E2E"/>
          <w:sz w:val="22"/>
          <w:szCs w:val="22"/>
        </w:rPr>
        <w:t xml:space="preserve">Okinawa's change of government adds a regional dimension, with base-related budget lines and the development allocation likely to draw questions from members on both sides.</w:t>
      </w:r>
    </w:p>
    <w:p>
      <w:pPr>
        <w:spacing w:after="120" w:before="0" w:line="300"/>
        <w:jc w:val="both"/>
      </w:pPr>
      <w:r>
        <w:rPr>
          <w:rFonts w:ascii="Times New Roman" w:cs="Times New Roman" w:eastAsia="Times New Roman" w:hAnsi="Times New Roman"/>
          <w:color w:val="2E2E2E"/>
          <w:sz w:val="22"/>
          <w:szCs w:val="22"/>
        </w:rPr>
        <w:t xml:space="preserve">Session length is set by the government and can be extended, and the density of this agenda makes an extension more likely than not.</w:t>
      </w:r>
    </w:p>
    <w:p>
      <w:pPr>
        <w:spacing w:after="120" w:before="0" w:line="300"/>
        <w:jc w:val="both"/>
      </w:pPr>
      <w:r>
        <w:rPr>
          <w:rFonts w:ascii="Times New Roman" w:cs="Times New Roman" w:eastAsia="Times New Roman" w:hAnsi="Times New Roman"/>
          <w:color w:val="2E2E2E"/>
          <w:sz w:val="22"/>
          <w:szCs w:val="22"/>
        </w:rPr>
        <w:t xml:space="preserve">Public attention will concentrate on the tax measure, since it is the item with the most direct household effect and the clearest date attached.</w:t>
      </w:r>
    </w:p>
    <w:p>
      <w:pPr>
        <w:spacing w:after="200" w:before="40"/>
        <w:jc w:val="right"/>
      </w:pPr>
      <w:r>
        <w:rPr>
          <w:rFonts w:ascii="Helvetica" w:cs="Helvetica" w:eastAsia="Helvetica" w:hAnsi="Helvetica"/>
          <w:i/>
          <w:iCs/>
          <w:color w:val="888888"/>
          <w:sz w:val="16"/>
          <w:szCs w:val="16"/>
        </w:rPr>
        <w:t xml:space="preserve">[304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 Week That Stacks Decisions on Top of Each Other</w:t>
      </w:r>
    </w:p>
    <w:p>
      <w:pPr>
        <w:spacing w:after="40" w:before="40"/>
      </w:pPr>
      <w:r>
        <w:rPr>
          <w:rFonts w:ascii="Times New Roman" w:cs="Times New Roman" w:eastAsia="Times New Roman" w:hAnsi="Times New Roman"/>
          <w:i/>
          <w:iCs/>
          <w:color w:val="9B1B2A"/>
          <w:sz w:val="22"/>
          <w:szCs w:val="22"/>
        </w:rPr>
        <w:t xml:space="preserve">Two central banks, a cabinet reshuffle, a Diet session and the Asian Games all fall within days</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Weeks in which several consequential decisions fall on consecutive days are rare enough to be worth mapping, and this one has more than most.</w:t>
      </w:r>
    </w:p>
    <w:p>
      <w:pPr>
        <w:spacing w:after="120" w:before="0" w:line="300"/>
        <w:jc w:val="both"/>
      </w:pPr>
      <w:r>
        <w:rPr>
          <w:rFonts w:ascii="Times New Roman" w:cs="Times New Roman" w:eastAsia="Times New Roman" w:hAnsi="Times New Roman"/>
          <w:color w:val="2E2E2E"/>
          <w:sz w:val="22"/>
          <w:szCs w:val="22"/>
        </w:rPr>
        <w:t xml:space="preserve">The Federal Open Market Committee meets today and tomorrow, with markets pricing an increase rather than the cuts expected at the start of the year, and its decision lands while Asian markets are closed and before Tokyo opens on Thursday.</w:t>
      </w:r>
    </w:p>
    <w:p>
      <w:pPr>
        <w:spacing w:after="120" w:before="0" w:line="300"/>
        <w:jc w:val="both"/>
      </w:pPr>
      <w:r>
        <w:rPr>
          <w:rFonts w:ascii="Times New Roman" w:cs="Times New Roman" w:eastAsia="Times New Roman" w:hAnsi="Times New Roman"/>
          <w:color w:val="2E2E2E"/>
          <w:sz w:val="22"/>
          <w:szCs w:val="22"/>
        </w:rPr>
        <w:t xml:space="preserve">The cabinet reshuffle is expected around Thursday, bringing the Japan Innovation Party its first cabinet post and a new lineup in the finance and economy portfolios that will face markets immediately.</w:t>
      </w:r>
    </w:p>
    <w:p>
      <w:pPr>
        <w:spacing w:after="120" w:before="0" w:line="300"/>
        <w:jc w:val="both"/>
      </w:pPr>
      <w:r>
        <w:rPr>
          <w:rFonts w:ascii="Times New Roman" w:cs="Times New Roman" w:eastAsia="Times New Roman" w:hAnsi="Times New Roman"/>
          <w:color w:val="2E2E2E"/>
          <w:sz w:val="22"/>
          <w:szCs w:val="22"/>
        </w:rPr>
        <w:t xml:space="preserve">The Bank of Japan meets Thursday and Friday, with a move to 1.25% almost fully priced, and its decision will be the first major test for whichever ministers hold the economic briefs by then.</w:t>
      </w:r>
    </w:p>
    <w:p>
      <w:pPr>
        <w:spacing w:after="120" w:before="0" w:line="300"/>
        <w:jc w:val="both"/>
      </w:pPr>
      <w:r>
        <w:rPr>
          <w:rFonts w:ascii="Times New Roman" w:cs="Times New Roman" w:eastAsia="Times New Roman" w:hAnsi="Times New Roman"/>
          <w:color w:val="2E2E2E"/>
          <w:sz w:val="22"/>
          <w:szCs w:val="22"/>
        </w:rPr>
        <w:t xml:space="preserve">The consumption tax outline approved Tuesday requires legislation, and the extraordinary Diet session that follows the reshuffle will take it up alongside a budget agenda shaped by energy costs.</w:t>
      </w:r>
    </w:p>
    <w:p>
      <w:pPr>
        <w:spacing w:after="120" w:before="0" w:line="300"/>
        <w:jc w:val="both"/>
      </w:pPr>
      <w:r>
        <w:rPr>
          <w:rFonts w:ascii="Times New Roman" w:cs="Times New Roman" w:eastAsia="Times New Roman" w:hAnsi="Times New Roman"/>
          <w:color w:val="2E2E2E"/>
          <w:sz w:val="22"/>
          <w:szCs w:val="22"/>
        </w:rPr>
        <w:t xml:space="preserve">The Asian Games run throughout, with the medal table taking shape as the disciplines carrying Japan's heaviest expectations, judo, gymnastics, swimming and athletics, progress through their programmes.</w:t>
      </w:r>
    </w:p>
    <w:p>
      <w:pPr>
        <w:spacing w:after="120" w:before="0" w:line="300"/>
        <w:jc w:val="both"/>
      </w:pPr>
      <w:r>
        <w:rPr>
          <w:rFonts w:ascii="Times New Roman" w:cs="Times New Roman" w:eastAsia="Times New Roman" w:hAnsi="Times New Roman"/>
          <w:color w:val="2E2E2E"/>
          <w:sz w:val="22"/>
          <w:szCs w:val="22"/>
        </w:rPr>
        <w:t xml:space="preserve">The Aki Basho continues at Ryogoku through the 27th, entering the second week in which the top-ranked wrestlers begin meeting each other.</w:t>
      </w:r>
    </w:p>
    <w:p>
      <w:pPr>
        <w:spacing w:after="120" w:before="0" w:line="300"/>
        <w:jc w:val="both"/>
      </w:pPr>
      <w:r>
        <w:rPr>
          <w:rFonts w:ascii="Times New Roman" w:cs="Times New Roman" w:eastAsia="Times New Roman" w:hAnsi="Times New Roman"/>
          <w:color w:val="2E2E2E"/>
          <w:sz w:val="22"/>
          <w:szCs w:val="22"/>
        </w:rPr>
        <w:t xml:space="preserve">Silver Week arrives at the end of the period under a forecast that currently favours cloud and rain, which will shape the domestic travel that the holiday normally generates.</w:t>
      </w:r>
    </w:p>
    <w:p>
      <w:pPr>
        <w:spacing w:after="120" w:before="0" w:line="300"/>
        <w:jc w:val="both"/>
      </w:pPr>
      <w:r>
        <w:rPr>
          <w:rFonts w:ascii="Times New Roman" w:cs="Times New Roman" w:eastAsia="Times New Roman" w:hAnsi="Times New Roman"/>
          <w:color w:val="2E2E2E"/>
          <w:sz w:val="22"/>
          <w:szCs w:val="22"/>
        </w:rPr>
        <w:t xml:space="preserve">Saudi Arabia's East-West pipeline repair, expected to take three to five weeks, will keep oil markets sensitive to any news from the Gulf throughout.</w:t>
      </w:r>
    </w:p>
    <w:p>
      <w:pPr>
        <w:spacing w:after="120" w:before="0" w:line="300"/>
        <w:jc w:val="both"/>
      </w:pPr>
      <w:r>
        <w:rPr>
          <w:rFonts w:ascii="Times New Roman" w:cs="Times New Roman" w:eastAsia="Times New Roman" w:hAnsi="Times New Roman"/>
          <w:color w:val="2E2E2E"/>
          <w:sz w:val="22"/>
          <w:szCs w:val="22"/>
        </w:rPr>
        <w:t xml:space="preserve">Gulf and Iranian foreign ministers met in Oman on Monday, and any follow-up will be watched for signs of movement on the shipping-lane arrangement under discussion.</w:t>
      </w:r>
    </w:p>
    <w:p>
      <w:pPr>
        <w:spacing w:after="120" w:before="0" w:line="300"/>
        <w:jc w:val="both"/>
      </w:pPr>
      <w:r>
        <w:rPr>
          <w:rFonts w:ascii="Times New Roman" w:cs="Times New Roman" w:eastAsia="Times New Roman" w:hAnsi="Times New Roman"/>
          <w:color w:val="2E2E2E"/>
          <w:sz w:val="22"/>
          <w:szCs w:val="22"/>
        </w:rPr>
        <w:t xml:space="preserve">For households, the week's practical significance is concentrated in the rate decision, which bears on variable mortgages, and in the tax outline, which bears on the food bill from April 2027.</w:t>
      </w:r>
    </w:p>
    <w:p>
      <w:pPr>
        <w:spacing w:after="120" w:before="0" w:line="300"/>
        <w:jc w:val="both"/>
      </w:pPr>
      <w:r>
        <w:rPr>
          <w:rFonts w:ascii="Times New Roman" w:cs="Times New Roman" w:eastAsia="Times New Roman" w:hAnsi="Times New Roman"/>
          <w:color w:val="2E2E2E"/>
          <w:sz w:val="22"/>
          <w:szCs w:val="22"/>
        </w:rPr>
        <w:t xml:space="preserve">The reshuffle and the Diet session will determine how the government presents both, and to whom.</w:t>
      </w:r>
    </w:p>
    <w:p>
      <w:pPr>
        <w:spacing w:after="200" w:before="40"/>
        <w:jc w:val="right"/>
      </w:pPr>
      <w:r>
        <w:rPr>
          <w:rFonts w:ascii="Helvetica" w:cs="Helvetica" w:eastAsia="Helvetica" w:hAnsi="Helvetica"/>
          <w:i/>
          <w:iCs/>
          <w:color w:val="888888"/>
          <w:sz w:val="16"/>
          <w:szCs w:val="16"/>
        </w:rPr>
        <w:t xml:space="preserve">[333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a Cabinet Reshuffle Changes, and What It Does Not</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Cabinet reshuffles in Japan follow a recognisable sequence, and the one expected around Thursday will be no exception in its form even if its content carries a first for the Japan Innovation Party.</w:t>
      </w:r>
    </w:p>
    <w:p>
      <w:pPr>
        <w:spacing w:after="120" w:before="0" w:line="300"/>
        <w:jc w:val="both"/>
      </w:pPr>
      <w:r>
        <w:rPr>
          <w:rFonts w:ascii="Times New Roman" w:cs="Times New Roman" w:eastAsia="Times New Roman" w:hAnsi="Times New Roman"/>
          <w:color w:val="2E2E2E"/>
          <w:sz w:val="22"/>
          <w:szCs w:val="22"/>
        </w:rPr>
        <w:t xml:space="preserve">The prime minister appoints ministers and may dismiss them at will, an authority exercised through a formal attestation ceremony at the Imperial Palace that marks the moment a new cabinet takes office.</w:t>
      </w:r>
    </w:p>
    <w:p>
      <w:pPr>
        <w:spacing w:after="120" w:before="0" w:line="300"/>
        <w:jc w:val="both"/>
      </w:pPr>
      <w:r>
        <w:rPr>
          <w:rFonts w:ascii="Times New Roman" w:cs="Times New Roman" w:eastAsia="Times New Roman" w:hAnsi="Times New Roman"/>
          <w:color w:val="2E2E2E"/>
          <w:sz w:val="22"/>
          <w:szCs w:val="22"/>
        </w:rPr>
        <w:t xml:space="preserve">Most reshuffles retain the majority of ministers and change a minority, balancing the value of continuity in established portfolios against the political benefits of refreshing the lineup.</w:t>
      </w:r>
    </w:p>
    <w:p>
      <w:pPr>
        <w:spacing w:after="120" w:before="0" w:line="300"/>
        <w:jc w:val="both"/>
      </w:pPr>
      <w:r>
        <w:rPr>
          <w:rFonts w:ascii="Times New Roman" w:cs="Times New Roman" w:eastAsia="Times New Roman" w:hAnsi="Times New Roman"/>
          <w:color w:val="2E2E2E"/>
          <w:sz w:val="22"/>
          <w:szCs w:val="22"/>
        </w:rPr>
        <w:t xml:space="preserve">Factional balance within the governing party has historically shaped appointments, though the weakening of formal factions in recent years has altered that calculus without eliminating it.</w:t>
      </w:r>
    </w:p>
    <w:p>
      <w:pPr>
        <w:spacing w:after="120" w:before="0" w:line="300"/>
        <w:jc w:val="both"/>
      </w:pPr>
      <w:r>
        <w:rPr>
          <w:rFonts w:ascii="Times New Roman" w:cs="Times New Roman" w:eastAsia="Times New Roman" w:hAnsi="Times New Roman"/>
          <w:color w:val="2E2E2E"/>
          <w:sz w:val="22"/>
          <w:szCs w:val="22"/>
        </w:rPr>
        <w:t xml:space="preserve">Coalition partners are allocated posts by negotiation, and a partner's first cabinet seat is a milestone in the relationship, converting influence exercised through consultation into a share of collective responsibility.</w:t>
      </w:r>
    </w:p>
    <w:p>
      <w:pPr>
        <w:spacing w:after="120" w:before="0" w:line="300"/>
        <w:jc w:val="both"/>
      </w:pPr>
      <w:r>
        <w:rPr>
          <w:rFonts w:ascii="Times New Roman" w:cs="Times New Roman" w:eastAsia="Times New Roman" w:hAnsi="Times New Roman"/>
          <w:color w:val="2E2E2E"/>
          <w:sz w:val="22"/>
          <w:szCs w:val="22"/>
        </w:rPr>
        <w:t xml:space="preserve">Ministers of State for Special Missions sit within the Cabinet Office and take on briefs the prime minister assigns, which can range across regional revitalisation, administrative reform, economic security and other cross-cutting matters.</w:t>
      </w:r>
    </w:p>
    <w:p>
      <w:pPr>
        <w:spacing w:after="120" w:before="0" w:line="300"/>
        <w:jc w:val="both"/>
      </w:pPr>
      <w:r>
        <w:rPr>
          <w:rFonts w:ascii="Times New Roman" w:cs="Times New Roman" w:eastAsia="Times New Roman" w:hAnsi="Times New Roman"/>
          <w:color w:val="2E2E2E"/>
          <w:sz w:val="22"/>
          <w:szCs w:val="22"/>
        </w:rPr>
        <w:t xml:space="preserve">The chief cabinet secretary, who conducts the government's daily press briefings, is among the posts watched most closely, since the holder becomes the administration's public voice.</w:t>
      </w:r>
    </w:p>
    <w:p>
      <w:pPr>
        <w:spacing w:after="120" w:before="0" w:line="300"/>
        <w:jc w:val="both"/>
      </w:pPr>
      <w:r>
        <w:rPr>
          <w:rFonts w:ascii="Times New Roman" w:cs="Times New Roman" w:eastAsia="Times New Roman" w:hAnsi="Times New Roman"/>
          <w:color w:val="2E2E2E"/>
          <w:sz w:val="22"/>
          <w:szCs w:val="22"/>
        </w:rPr>
        <w:t xml:space="preserve">The finance and economy portfolios carry particular weight this week, with a Bank of Japan decision and a consumption tax measure both requiring ministerial handling in the days immediately following the appointments.</w:t>
      </w:r>
    </w:p>
    <w:p>
      <w:pPr>
        <w:spacing w:after="120" w:before="0" w:line="300"/>
        <w:jc w:val="both"/>
      </w:pPr>
      <w:r>
        <w:rPr>
          <w:rFonts w:ascii="Times New Roman" w:cs="Times New Roman" w:eastAsia="Times New Roman" w:hAnsi="Times New Roman"/>
          <w:color w:val="2E2E2E"/>
          <w:sz w:val="22"/>
          <w:szCs w:val="22"/>
        </w:rPr>
        <w:t xml:space="preserve">Vice-ministerial and parliamentary secretary posts are typically filled in the days after the cabinet itself, extending the reshuffle's reach into the second tier of government.</w:t>
      </w:r>
    </w:p>
    <w:p>
      <w:pPr>
        <w:spacing w:after="120" w:before="0" w:line="300"/>
        <w:jc w:val="both"/>
      </w:pPr>
      <w:r>
        <w:rPr>
          <w:rFonts w:ascii="Times New Roman" w:cs="Times New Roman" w:eastAsia="Times New Roman" w:hAnsi="Times New Roman"/>
          <w:color w:val="2E2E2E"/>
          <w:sz w:val="22"/>
          <w:szCs w:val="22"/>
        </w:rPr>
        <w:t xml:space="preserve">New ministers face committee questioning in the Diet session that follows, where command of a brief is tested publicly and early impressions form.</w:t>
      </w:r>
    </w:p>
    <w:p>
      <w:pPr>
        <w:spacing w:after="120" w:before="0" w:line="300"/>
        <w:jc w:val="both"/>
      </w:pPr>
      <w:r>
        <w:rPr>
          <w:rFonts w:ascii="Times New Roman" w:cs="Times New Roman" w:eastAsia="Times New Roman" w:hAnsi="Times New Roman"/>
          <w:color w:val="2E2E2E"/>
          <w:sz w:val="22"/>
          <w:szCs w:val="22"/>
        </w:rPr>
        <w:t xml:space="preserve">What a reshuffle does not change is the government's parliamentary arithmetic or its policy commitments, which remain those of the coalition regardless of who holds each seal.</w:t>
      </w:r>
    </w:p>
    <w:p>
      <w:pPr>
        <w:spacing w:after="200" w:before="40"/>
        <w:jc w:val="right"/>
      </w:pPr>
      <w:r>
        <w:rPr>
          <w:rFonts w:ascii="Helvetica" w:cs="Helvetica" w:eastAsia="Helvetica" w:hAnsi="Helvetica"/>
          <w:i/>
          <w:iCs/>
          <w:color w:val="888888"/>
          <w:sz w:val="16"/>
          <w:szCs w:val="16"/>
        </w:rPr>
        <w:t xml:space="preserve">[314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Twelve Years of All Okinawa: How the Coalition Rose and What It Leaves Behind</w:t>
      </w:r>
    </w:p>
    <w:p>
      <w:pPr>
        <w:pBdr>
          <w:bottom w:val="single" w:color="CCCCCC" w:sz="4"/>
        </w:pBdr>
        <w:spacing w:after="120" w:before="40"/>
      </w:pPr>
      <w:r>
        <w:rPr>
          <w:rFonts w:ascii="Helvetica" w:cs="Helvetica" w:eastAsia="Helvetica" w:hAnsi="Helvetica"/>
          <w:i/>
          <w:iCs/>
          <w:color w:val="888888"/>
          <w:sz w:val="18"/>
          <w:szCs w:val="18"/>
        </w:rPr>
        <w:t xml:space="preserve">By Aiko Tanaka | Senior Japan Correspondent, Tokyo Bureau</w:t>
      </w:r>
    </w:p>
    <w:p>
      <w:pPr>
        <w:spacing w:after="120" w:before="0" w:line="300"/>
        <w:jc w:val="both"/>
      </w:pPr>
      <w:r>
        <w:rPr>
          <w:rFonts w:ascii="Times New Roman" w:cs="Times New Roman" w:eastAsia="Times New Roman" w:hAnsi="Times New Roman"/>
          <w:color w:val="2E2E2E"/>
          <w:sz w:val="22"/>
          <w:szCs w:val="22"/>
        </w:rPr>
        <w:t xml:space="preserve">The coalition that governed Okinawa until this week took shape around a single proposition: that the prefecture's voters, regardless of party, could unite in opposition to the Henoko relocation. For twelve years that proposition held at the gubernatorial level.</w:t>
      </w:r>
    </w:p>
    <w:p>
      <w:pPr>
        <w:spacing w:after="120" w:before="0" w:line="300"/>
        <w:jc w:val="both"/>
      </w:pPr>
      <w:r>
        <w:rPr>
          <w:rFonts w:ascii="Times New Roman" w:cs="Times New Roman" w:eastAsia="Times New Roman" w:hAnsi="Times New Roman"/>
          <w:color w:val="2E2E2E"/>
          <w:sz w:val="22"/>
          <w:szCs w:val="22"/>
        </w:rPr>
        <w:t xml:space="preserve">Takeshi Onaga, a former Naha mayor with a conservative background, won the governorship in 2014 on that platform, drawing support from across the political spectrum in a way that earlier base-opposition candidates had not.</w:t>
      </w:r>
    </w:p>
    <w:p>
      <w:pPr>
        <w:spacing w:after="120" w:before="0" w:line="300"/>
        <w:jc w:val="both"/>
      </w:pPr>
      <w:r>
        <w:rPr>
          <w:rFonts w:ascii="Times New Roman" w:cs="Times New Roman" w:eastAsia="Times New Roman" w:hAnsi="Times New Roman"/>
          <w:color w:val="2E2E2E"/>
          <w:sz w:val="22"/>
          <w:szCs w:val="22"/>
        </w:rPr>
        <w:t xml:space="preserve">Onaga's own history was central to the coalition's appeal. A politician who had once backed the ruling party turning against the relocation gave the movement a claim to represent Okinawa rather than any faction of it.</w:t>
      </w:r>
    </w:p>
    <w:p>
      <w:pPr>
        <w:spacing w:after="120" w:before="0" w:line="300"/>
        <w:jc w:val="both"/>
      </w:pPr>
      <w:r>
        <w:rPr>
          <w:rFonts w:ascii="Times New Roman" w:cs="Times New Roman" w:eastAsia="Times New Roman" w:hAnsi="Times New Roman"/>
          <w:color w:val="2E2E2E"/>
          <w:sz w:val="22"/>
          <w:szCs w:val="22"/>
        </w:rPr>
        <w:t xml:space="preserve">His death in office in 2018 produced the election that brought Denny Tamaki to the governorship, and Tamaki's re-election in 2022 extended the coalition's hold to what has now become a twelve-year span.</w:t>
      </w:r>
    </w:p>
    <w:p>
      <w:pPr>
        <w:spacing w:after="120" w:before="0" w:line="300"/>
        <w:jc w:val="both"/>
      </w:pPr>
      <w:r>
        <w:rPr>
          <w:rFonts w:ascii="Times New Roman" w:cs="Times New Roman" w:eastAsia="Times New Roman" w:hAnsi="Times New Roman"/>
          <w:color w:val="2E2E2E"/>
          <w:sz w:val="22"/>
          <w:szCs w:val="22"/>
        </w:rPr>
        <w:t xml:space="preserve">Throughout, the central government proceeded with the relocation on legal and administrative grounds, winning the court cases the prefecture brought and continuing construction in Oura Bay.</w:t>
      </w:r>
    </w:p>
    <w:p>
      <w:pPr>
        <w:spacing w:after="120" w:before="0" w:line="300"/>
        <w:jc w:val="both"/>
      </w:pPr>
      <w:r>
        <w:rPr>
          <w:rFonts w:ascii="Times New Roman" w:cs="Times New Roman" w:eastAsia="Times New Roman" w:hAnsi="Times New Roman"/>
          <w:color w:val="2E2E2E"/>
          <w:sz w:val="22"/>
          <w:szCs w:val="22"/>
        </w:rPr>
        <w:t xml:space="preserve">That divergence between electoral mandate and practical outcome is the tension the coalition never resolved. It could win elections. It could not stop the project.</w:t>
      </w:r>
    </w:p>
    <w:p>
      <w:pPr>
        <w:spacing w:after="120" w:before="0" w:line="300"/>
        <w:jc w:val="both"/>
      </w:pPr>
      <w:r>
        <w:rPr>
          <w:rFonts w:ascii="Times New Roman" w:cs="Times New Roman" w:eastAsia="Times New Roman" w:hAnsi="Times New Roman"/>
          <w:color w:val="2E2E2E"/>
          <w:sz w:val="22"/>
          <w:szCs w:val="22"/>
        </w:rPr>
        <w:t xml:space="preserve">A 2019 prefectural referendum in which more than 70% of participants opposed the landfill demonstrated the strength of feeling and, in the same stroke, its limits, since the result bound no one outside the prefecture.</w:t>
      </w:r>
    </w:p>
    <w:p>
      <w:pPr>
        <w:spacing w:after="120" w:before="0" w:line="300"/>
        <w:jc w:val="both"/>
      </w:pPr>
      <w:r>
        <w:rPr>
          <w:rFonts w:ascii="Times New Roman" w:cs="Times New Roman" w:eastAsia="Times New Roman" w:hAnsi="Times New Roman"/>
          <w:color w:val="2E2E2E"/>
          <w:sz w:val="22"/>
          <w:szCs w:val="22"/>
        </w:rPr>
        <w:t xml:space="preserve">The coalition's organisational base drew on labour unions, civic groups and the local branches of several opposition parties, an alliance that proved durable through two gubernatorial cycles and brittle at the margins.</w:t>
      </w:r>
    </w:p>
    <w:p>
      <w:pPr>
        <w:spacing w:after="120" w:before="0" w:line="300"/>
        <w:jc w:val="both"/>
      </w:pPr>
      <w:r>
        <w:rPr>
          <w:rFonts w:ascii="Times New Roman" w:cs="Times New Roman" w:eastAsia="Times New Roman" w:hAnsi="Times New Roman"/>
          <w:color w:val="2E2E2E"/>
          <w:sz w:val="22"/>
          <w:szCs w:val="22"/>
        </w:rPr>
        <w:t xml:space="preserve">February's sweep of Okinawa's directly elected Lower House seats by the governing party was the first clear signal that the base had eroded, and Sunday's result confirms it at the level that matters most.</w:t>
      </w:r>
    </w:p>
    <w:p>
      <w:pPr>
        <w:spacing w:after="120" w:before="0" w:line="300"/>
        <w:jc w:val="both"/>
      </w:pPr>
      <w:r>
        <w:rPr>
          <w:rFonts w:ascii="Times New Roman" w:cs="Times New Roman" w:eastAsia="Times New Roman" w:hAnsi="Times New Roman"/>
          <w:color w:val="2E2E2E"/>
          <w:sz w:val="22"/>
          <w:szCs w:val="22"/>
        </w:rPr>
        <w:t xml:space="preserve">What the coalition leaves behind is a demonstration that sustained gubernatorial opposition can slow a national project without stopping it, and an electorate that appears to have drawn its own conclusion from that.</w:t>
      </w:r>
    </w:p>
    <w:p>
      <w:pPr>
        <w:spacing w:after="120" w:before="0" w:line="300"/>
        <w:jc w:val="both"/>
      </w:pPr>
      <w:r>
        <w:rPr>
          <w:rFonts w:ascii="Times New Roman" w:cs="Times New Roman" w:eastAsia="Times New Roman" w:hAnsi="Times New Roman"/>
          <w:color w:val="2E2E2E"/>
          <w:sz w:val="22"/>
          <w:szCs w:val="22"/>
        </w:rPr>
        <w:t xml:space="preserve">The movement's civic and legal wings will outlast its loss of the governorship, and their capacity to sustain opposition without a sympathetic prefectural administration is the question the next several years will answer.</w:t>
      </w:r>
    </w:p>
    <w:p>
      <w:pPr>
        <w:spacing w:after="200" w:before="40"/>
        <w:jc w:val="right"/>
      </w:pPr>
      <w:r>
        <w:rPr>
          <w:rFonts w:ascii="Helvetica" w:cs="Helvetica" w:eastAsia="Helvetica" w:hAnsi="Helvetica"/>
          <w:i/>
          <w:iCs/>
          <w:color w:val="888888"/>
          <w:sz w:val="16"/>
          <w:szCs w:val="16"/>
        </w:rPr>
        <w:t xml:space="preserve">[360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Consumption Tax at 37: A Short History of an Unpopular Levy</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Tuesday's cabinet decision to cut the food rate from 8% to 1% is the first downward movement in the consumption tax's history, and that history explains why the moment carries weight beyond its fiscal arithmetic.</w:t>
      </w:r>
    </w:p>
    <w:p>
      <w:pPr>
        <w:spacing w:after="120" w:before="0" w:line="300"/>
        <w:jc w:val="both"/>
      </w:pPr>
      <w:r>
        <w:rPr>
          <w:rFonts w:ascii="Times New Roman" w:cs="Times New Roman" w:eastAsia="Times New Roman" w:hAnsi="Times New Roman"/>
          <w:color w:val="2E2E2E"/>
          <w:sz w:val="22"/>
          <w:szCs w:val="22"/>
        </w:rPr>
        <w:t xml:space="preserve">The tax was introduced in April 1989 at 3%, after years of failed attempts by successive governments to establish a broad-based indirect tax, and its introduction contributed to a heavy defeat for the governing party in the upper house election that summer.</w:t>
      </w:r>
    </w:p>
    <w:p>
      <w:pPr>
        <w:spacing w:after="120" w:before="0" w:line="300"/>
        <w:jc w:val="both"/>
      </w:pPr>
      <w:r>
        <w:rPr>
          <w:rFonts w:ascii="Times New Roman" w:cs="Times New Roman" w:eastAsia="Times New Roman" w:hAnsi="Times New Roman"/>
          <w:color w:val="2E2E2E"/>
          <w:sz w:val="22"/>
          <w:szCs w:val="22"/>
        </w:rPr>
        <w:t xml:space="preserve">The rate rose to 5% in 1997 under a government that had staked considerable capital on fiscal consolidation, and the increase coincided with the onset of a recession that critics attributed to it and defenders to the Asian financial crisis.</w:t>
      </w:r>
    </w:p>
    <w:p>
      <w:pPr>
        <w:spacing w:after="120" w:before="0" w:line="300"/>
        <w:jc w:val="both"/>
      </w:pPr>
      <w:r>
        <w:rPr>
          <w:rFonts w:ascii="Times New Roman" w:cs="Times New Roman" w:eastAsia="Times New Roman" w:hAnsi="Times New Roman"/>
          <w:color w:val="2E2E2E"/>
          <w:sz w:val="22"/>
          <w:szCs w:val="22"/>
        </w:rPr>
        <w:t xml:space="preserve">That episode established a political lesson that has shaped every subsequent discussion: raising the consumption tax is expensive for the government that does it, whatever the economic case.</w:t>
      </w:r>
    </w:p>
    <w:p>
      <w:pPr>
        <w:spacing w:after="120" w:before="0" w:line="300"/>
        <w:jc w:val="both"/>
      </w:pPr>
      <w:r>
        <w:rPr>
          <w:rFonts w:ascii="Times New Roman" w:cs="Times New Roman" w:eastAsia="Times New Roman" w:hAnsi="Times New Roman"/>
          <w:color w:val="2E2E2E"/>
          <w:sz w:val="22"/>
          <w:szCs w:val="22"/>
        </w:rPr>
        <w:t xml:space="preserve">The rate reached 8% in 2014 and 10% in 2019, both increases legislated by one government and implemented by another after delays, with the 2019 rise accompanied by the introduction of the reduced 8% rate for food and non-alcoholic beverages.</w:t>
      </w:r>
    </w:p>
    <w:p>
      <w:pPr>
        <w:spacing w:after="120" w:before="0" w:line="300"/>
        <w:jc w:val="both"/>
      </w:pPr>
      <w:r>
        <w:rPr>
          <w:rFonts w:ascii="Times New Roman" w:cs="Times New Roman" w:eastAsia="Times New Roman" w:hAnsi="Times New Roman"/>
          <w:color w:val="2E2E2E"/>
          <w:sz w:val="22"/>
          <w:szCs w:val="22"/>
        </w:rPr>
        <w:t xml:space="preserve">That reduced rate created the two-tier structure within which Tuesday's outline operates, and its administrative machinery, distinguishing food from other goods at the point of sale, is what makes a targeted cut feasible.</w:t>
      </w:r>
    </w:p>
    <w:p>
      <w:pPr>
        <w:spacing w:after="120" w:before="0" w:line="300"/>
        <w:jc w:val="both"/>
      </w:pPr>
      <w:r>
        <w:rPr>
          <w:rFonts w:ascii="Times New Roman" w:cs="Times New Roman" w:eastAsia="Times New Roman" w:hAnsi="Times New Roman"/>
          <w:color w:val="2E2E2E"/>
          <w:sz w:val="22"/>
          <w:szCs w:val="22"/>
        </w:rPr>
        <w:t xml:space="preserve">Consumption tax revenue has become one of the largest single sources of general account income, supporting the social security spending that an ageing population requires, which is why cuts have been resisted across governments of different composition.</w:t>
      </w:r>
    </w:p>
    <w:p>
      <w:pPr>
        <w:spacing w:after="120" w:before="0" w:line="300"/>
        <w:jc w:val="both"/>
      </w:pPr>
      <w:r>
        <w:rPr>
          <w:rFonts w:ascii="Times New Roman" w:cs="Times New Roman" w:eastAsia="Times New Roman" w:hAnsi="Times New Roman"/>
          <w:color w:val="2E2E2E"/>
          <w:sz w:val="22"/>
          <w:szCs w:val="22"/>
        </w:rPr>
        <w:t xml:space="preserve">The two-year limit on the new reduction reflects that constraint. A permanent cut would require a permanent answer to the revenue question; a temporary one defers it.</w:t>
      </w:r>
    </w:p>
    <w:p>
      <w:pPr>
        <w:spacing w:after="120" w:before="0" w:line="300"/>
        <w:jc w:val="both"/>
      </w:pPr>
      <w:r>
        <w:rPr>
          <w:rFonts w:ascii="Times New Roman" w:cs="Times New Roman" w:eastAsia="Times New Roman" w:hAnsi="Times New Roman"/>
          <w:color w:val="2E2E2E"/>
          <w:sz w:val="22"/>
          <w:szCs w:val="22"/>
        </w:rPr>
        <w:t xml:space="preserve">Opposition parties have periodically campaigned on consumption tax cuts, and the governing coalition's adoption of a targeted reduction takes an argument that had belonged to its critics.</w:t>
      </w:r>
    </w:p>
    <w:p>
      <w:pPr>
        <w:spacing w:after="120" w:before="0" w:line="300"/>
        <w:jc w:val="both"/>
      </w:pPr>
      <w:r>
        <w:rPr>
          <w:rFonts w:ascii="Times New Roman" w:cs="Times New Roman" w:eastAsia="Times New Roman" w:hAnsi="Times New Roman"/>
          <w:color w:val="2E2E2E"/>
          <w:sz w:val="22"/>
          <w:szCs w:val="22"/>
        </w:rPr>
        <w:t xml:space="preserve">Households will not see the change at the register until April 2027, a gap that gives retailers time to prepare and gives the measure's opponents time to argue it is too distant to matter.</w:t>
      </w:r>
    </w:p>
    <w:p>
      <w:pPr>
        <w:spacing w:after="120" w:before="0" w:line="300"/>
        <w:jc w:val="both"/>
      </w:pPr>
      <w:r>
        <w:rPr>
          <w:rFonts w:ascii="Times New Roman" w:cs="Times New Roman" w:eastAsia="Times New Roman" w:hAnsi="Times New Roman"/>
          <w:color w:val="2E2E2E"/>
          <w:sz w:val="22"/>
          <w:szCs w:val="22"/>
        </w:rPr>
        <w:t xml:space="preserve">Whether the reduction is extended, allowed to lapse or converted into something permanent when the two years end will be decided by a government that has not yet been elected, which is the tax's own history repeating in a new form.</w:t>
      </w:r>
    </w:p>
    <w:p>
      <w:pPr>
        <w:spacing w:after="200" w:before="40"/>
        <w:jc w:val="right"/>
      </w:pPr>
      <w:r>
        <w:rPr>
          <w:rFonts w:ascii="Helvetica" w:cs="Helvetica" w:eastAsia="Helvetica" w:hAnsi="Helvetica"/>
          <w:i/>
          <w:iCs/>
          <w:color w:val="888888"/>
          <w:sz w:val="16"/>
          <w:szCs w:val="16"/>
        </w:rPr>
        <w:t xml:space="preserve">[384 words]</w:t>
      </w:r>
    </w:p>
    <w:p>
      <w:pPr>
        <w:shd w:fill="0D1B2A" w:color="auto" w:val="clear"/>
        <w:spacing w:after="160" w:before="300"/>
        <w:jc w:val="center"/>
      </w:pPr>
      <w:r>
        <w:rPr>
          <w:rFonts w:ascii="Helvetica" w:cs="Helvetica" w:eastAsia="Helvetica" w:hAnsi="Helvetica"/>
          <w:b/>
          <w:bCs/>
          <w:color w:val="FFFFFF"/>
          <w:sz w:val="24"/>
          <w:szCs w:val="24"/>
        </w:rPr>
        <w:t xml:space="preserve">— ANALYSIS —</w:t>
      </w:r>
    </w:p>
    <w:p>
      <w:pPr>
        <w:pBdr>
          <w:top w:val="thick" w:color="9B1B2A" w:sz="18"/>
        </w:pBdr>
        <w:spacing w:after="80" w:before="160"/>
      </w:pPr>
      <w:r>
        <w:rPr>
          <w:rFonts w:ascii="Times New Roman" w:cs="Times New Roman" w:eastAsia="Times New Roman" w:hAnsi="Times New Roman"/>
          <w:b/>
          <w:bCs/>
          <w:color w:val="0D1B2A"/>
          <w:sz w:val="40"/>
          <w:szCs w:val="40"/>
        </w:rPr>
        <w:t xml:space="preserve">ANALYSIS: A Culture That Knew It Was Right</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The most consequential sentence in Chubu Electric Power's investigation committee report is not the count of 208 mishandled seismic readings. It is the committee's description of a company culture organised around a conviction that it was right.</w:t>
      </w:r>
    </w:p>
    <w:p>
      <w:pPr>
        <w:spacing w:after="120" w:before="0" w:line="300"/>
        <w:jc w:val="both"/>
      </w:pPr>
      <w:r>
        <w:rPr>
          <w:rFonts w:ascii="Times New Roman" w:cs="Times New Roman" w:eastAsia="Times New Roman" w:hAnsi="Times New Roman"/>
          <w:color w:val="2E2E2E"/>
          <w:sz w:val="22"/>
          <w:szCs w:val="22"/>
        </w:rPr>
        <w:t xml:space="preserve">Safety failures in complex technical organisations rarely begin with anyone deciding to be unsafe. They begin with an organisation that has concluded what the answer should be, and that treats data pointing elsewhere as a problem with the data.</w:t>
      </w:r>
    </w:p>
    <w:p>
      <w:pPr>
        <w:spacing w:after="120" w:before="0" w:line="300"/>
        <w:jc w:val="both"/>
      </w:pPr>
      <w:r>
        <w:rPr>
          <w:rFonts w:ascii="Times New Roman" w:cs="Times New Roman" w:eastAsia="Times New Roman" w:hAnsi="Times New Roman"/>
          <w:color w:val="2E2E2E"/>
          <w:sz w:val="22"/>
          <w:szCs w:val="22"/>
        </w:rPr>
        <w:t xml:space="preserve">The report's second finding supplies the pressure that turns a belief into a practice. Management reprimands over delays in the review process pushed down onto the field, onto the staff producing the readings, which is where schedule pressure meets measurement and measurement usually loses.</w:t>
      </w:r>
    </w:p>
    <w:p>
      <w:pPr>
        <w:spacing w:after="120" w:before="0" w:line="300"/>
        <w:jc w:val="both"/>
      </w:pPr>
      <w:r>
        <w:rPr>
          <w:rFonts w:ascii="Times New Roman" w:cs="Times New Roman" w:eastAsia="Times New Roman" w:hAnsi="Times New Roman"/>
          <w:color w:val="2E2E2E"/>
          <w:sz w:val="22"/>
          <w:szCs w:val="22"/>
        </w:rPr>
        <w:t xml:space="preserve">This is a recognisable pattern from industrial accident literature across sectors and countries. The combination of institutional certainty and schedule pressure does not require dishonest people. It requires only that reporting an inconvenient number be professionally costly and that reporting a convenient one be easy.</w:t>
      </w:r>
    </w:p>
    <w:p>
      <w:pPr>
        <w:spacing w:after="120" w:before="0" w:line="300"/>
        <w:jc w:val="both"/>
      </w:pPr>
      <w:r>
        <w:rPr>
          <w:rFonts w:ascii="Times New Roman" w:cs="Times New Roman" w:eastAsia="Times New Roman" w:hAnsi="Times New Roman"/>
          <w:color w:val="2E2E2E"/>
          <w:sz w:val="22"/>
          <w:szCs w:val="22"/>
        </w:rPr>
        <w:t xml:space="preserve">What makes the finding serious for Japan's broader nuclear programme is that the post-2011 regulatory architecture was built precisely on the assumption that utility self-reporting cannot simply be trusted. The verification requirements that slow every restart exist because of this failure mode.</w:t>
      </w:r>
    </w:p>
    <w:p>
      <w:pPr>
        <w:spacing w:after="120" w:before="0" w:line="300"/>
        <w:jc w:val="both"/>
      </w:pPr>
      <w:r>
        <w:rPr>
          <w:rFonts w:ascii="Times New Roman" w:cs="Times New Roman" w:eastAsia="Times New Roman" w:hAnsi="Times New Roman"/>
          <w:color w:val="2E2E2E"/>
          <w:sz w:val="22"/>
          <w:szCs w:val="22"/>
        </w:rPr>
        <w:t xml:space="preserve">The system worked, in the narrow sense that the falsification was caught and the application withdrawn rather than approved on bad data. That is not nothing, and it is worth saying so.</w:t>
      </w:r>
    </w:p>
    <w:p>
      <w:pPr>
        <w:spacing w:after="120" w:before="0" w:line="300"/>
        <w:jc w:val="both"/>
      </w:pPr>
      <w:r>
        <w:rPr>
          <w:rFonts w:ascii="Times New Roman" w:cs="Times New Roman" w:eastAsia="Times New Roman" w:hAnsi="Times New Roman"/>
          <w:color w:val="2E2E2E"/>
          <w:sz w:val="22"/>
          <w:szCs w:val="22"/>
        </w:rPr>
        <w:t xml:space="preserve">It also means every other utility's submissions now face review by a regulator with fresh evidence that its scepticism is warranted, which will slow restarts across the industry regardless of whether any other company has done anything wrong.</w:t>
      </w:r>
    </w:p>
    <w:p>
      <w:pPr>
        <w:spacing w:after="120" w:before="0" w:line="300"/>
        <w:jc w:val="both"/>
      </w:pPr>
      <w:r>
        <w:rPr>
          <w:rFonts w:ascii="Times New Roman" w:cs="Times New Roman" w:eastAsia="Times New Roman" w:hAnsi="Times New Roman"/>
          <w:color w:val="2E2E2E"/>
          <w:sz w:val="22"/>
          <w:szCs w:val="22"/>
        </w:rPr>
        <w:t xml:space="preserve">The lesson other operators should take is not primarily about data handling procedures, which are already extensive. It is about whether their own organisations have made it safe for a junior engineer to report a number nobody wanted.</w:t>
      </w:r>
    </w:p>
    <w:p>
      <w:pPr>
        <w:spacing w:after="120" w:before="0" w:line="300"/>
        <w:jc w:val="both"/>
      </w:pPr>
      <w:r>
        <w:rPr>
          <w:rFonts w:ascii="Times New Roman" w:cs="Times New Roman" w:eastAsia="Times New Roman" w:hAnsi="Times New Roman"/>
          <w:color w:val="2E2E2E"/>
          <w:sz w:val="22"/>
          <w:szCs w:val="22"/>
        </w:rPr>
        <w:t xml:space="preserve">The pattern the committee describes has a name in safety literature. Normalisation of deviance describes the process by which an organisation comes to treat departures from its own standards as acceptable, not through any decision to lower them but through repeated tolerance of small exceptions.</w:t>
      </w:r>
    </w:p>
    <w:p>
      <w:pPr>
        <w:spacing w:after="120" w:before="0" w:line="300"/>
        <w:jc w:val="both"/>
      </w:pPr>
      <w:r>
        <w:rPr>
          <w:rFonts w:ascii="Times New Roman" w:cs="Times New Roman" w:eastAsia="Times New Roman" w:hAnsi="Times New Roman"/>
          <w:color w:val="2E2E2E"/>
          <w:sz w:val="22"/>
          <w:szCs w:val="22"/>
        </w:rPr>
        <w:t xml:space="preserve">What makes the Chubu Electric finding distinctive is the direction of the pressure. Reprimands over review delays travelled downward from management to the field, which means the schedule cost of an inconvenient reading was felt by the person best positioned to report it.</w:t>
      </w:r>
    </w:p>
    <w:p>
      <w:pPr>
        <w:spacing w:after="120" w:before="0" w:line="300"/>
        <w:jc w:val="both"/>
      </w:pPr>
      <w:r>
        <w:rPr>
          <w:rFonts w:ascii="Times New Roman" w:cs="Times New Roman" w:eastAsia="Times New Roman" w:hAnsi="Times New Roman"/>
          <w:color w:val="2E2E2E"/>
          <w:sz w:val="22"/>
          <w:szCs w:val="22"/>
        </w:rPr>
        <w:t xml:space="preserve">Japan's own regulatory architecture was rebuilt after 2011 specifically because the previous arrangement had allowed regulator and industry to develop a shared interest in smooth approvals, a relationship the reforms sought to sever.</w:t>
      </w:r>
    </w:p>
    <w:p>
      <w:pPr>
        <w:spacing w:after="120" w:before="0" w:line="300"/>
        <w:jc w:val="both"/>
      </w:pPr>
      <w:r>
        <w:rPr>
          <w:rFonts w:ascii="Times New Roman" w:cs="Times New Roman" w:eastAsia="Times New Roman" w:hAnsi="Times New Roman"/>
          <w:color w:val="2E2E2E"/>
          <w:sz w:val="22"/>
          <w:szCs w:val="22"/>
        </w:rPr>
        <w:t xml:space="preserve">The case tests whether that severance holds. A regulator that accepts submitted data at face value would not have caught this; one that verifies independently did.</w:t>
      </w:r>
    </w:p>
    <w:p>
      <w:pPr>
        <w:spacing w:after="120" w:before="0" w:line="300"/>
        <w:jc w:val="both"/>
      </w:pPr>
      <w:r>
        <w:rPr>
          <w:rFonts w:ascii="Times New Roman" w:cs="Times New Roman" w:eastAsia="Times New Roman" w:hAnsi="Times New Roman"/>
          <w:color w:val="2E2E2E"/>
          <w:sz w:val="22"/>
          <w:szCs w:val="22"/>
        </w:rPr>
        <w:t xml:space="preserve">Other operators reviewing their own arrangements would do better to examine reporting incentives than data handling procedures, since the procedures were presumably adequate on paper at Chubu Electric as well.</w:t>
      </w:r>
    </w:p>
    <w:p>
      <w:pPr>
        <w:spacing w:after="200" w:before="40"/>
        <w:jc w:val="right"/>
      </w:pPr>
      <w:r>
        <w:rPr>
          <w:rFonts w:ascii="Helvetica" w:cs="Helvetica" w:eastAsia="Helvetica" w:hAnsi="Helvetica"/>
          <w:i/>
          <w:iCs/>
          <w:color w:val="888888"/>
          <w:sz w:val="16"/>
          <w:szCs w:val="16"/>
        </w:rPr>
        <w:t xml:space="preserve">[492 words]</w:t>
      </w:r>
    </w:p>
    <w:p>
      <w:pPr>
        <w:shd w:fill="0D1B2A" w:color="auto" w:val="clear"/>
        <w:spacing w:after="160" w:before="300"/>
        <w:jc w:val="center"/>
      </w:pPr>
      <w:r>
        <w:rPr>
          <w:rFonts w:ascii="Helvetica" w:cs="Helvetica" w:eastAsia="Helvetica" w:hAnsi="Helvetica"/>
          <w:b/>
          <w:bCs/>
          <w:color w:val="FFFFFF"/>
          <w:sz w:val="24"/>
          <w:szCs w:val="24"/>
        </w:rPr>
        <w:t xml:space="preserve">— INTERNATIONAL —</w:t>
      </w:r>
    </w:p>
    <w:p>
      <w:pPr>
        <w:pBdr>
          <w:top w:val="thick" w:color="9B1B2A" w:sz="18"/>
        </w:pBdr>
        <w:spacing w:after="80" w:before="160"/>
      </w:pPr>
      <w:r>
        <w:rPr>
          <w:rFonts w:ascii="Times New Roman" w:cs="Times New Roman" w:eastAsia="Times New Roman" w:hAnsi="Times New Roman"/>
          <w:b/>
          <w:bCs/>
          <w:color w:val="0D1B2A"/>
          <w:sz w:val="40"/>
          <w:szCs w:val="40"/>
        </w:rPr>
        <w:t xml:space="preserve">IAEA General Conference Opens With Iran on the Agenda</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The International Atomic Energy Agency's General Conference has opened with the Iran issue under discussion, according to Yomiuri Shimbun, convening the agency's member states at a moment when the nuclear file sits inside a broader regional conflict.</w:t>
      </w:r>
    </w:p>
    <w:p>
      <w:pPr>
        <w:spacing w:after="120" w:before="0" w:line="300"/>
        <w:jc w:val="both"/>
      </w:pPr>
      <w:r>
        <w:rPr>
          <w:rFonts w:ascii="Times New Roman" w:cs="Times New Roman" w:eastAsia="Times New Roman" w:hAnsi="Times New Roman"/>
          <w:color w:val="2E2E2E"/>
          <w:sz w:val="22"/>
          <w:szCs w:val="22"/>
        </w:rPr>
        <w:t xml:space="preserve">The General Conference is the agency's annual plenary, bringing together all member states to address budget, governance and the safeguards questions that constitute the IAEA's core verification mandate.</w:t>
      </w:r>
    </w:p>
    <w:p>
      <w:pPr>
        <w:spacing w:after="120" w:before="0" w:line="300"/>
        <w:jc w:val="both"/>
      </w:pPr>
      <w:r>
        <w:rPr>
          <w:rFonts w:ascii="Times New Roman" w:cs="Times New Roman" w:eastAsia="Times New Roman" w:hAnsi="Times New Roman"/>
          <w:color w:val="2E2E2E"/>
          <w:sz w:val="22"/>
          <w:szCs w:val="22"/>
        </w:rPr>
        <w:t xml:space="preserve">Iran's file has occupied the agency for two decades, turning on access for inspectors, the completeness of declarations and the disposition of enriched material, and it arrives this year with the war between Iran and the United States shaping every conversation around it.</w:t>
      </w:r>
    </w:p>
    <w:p>
      <w:pPr>
        <w:spacing w:after="120" w:before="0" w:line="300"/>
        <w:jc w:val="both"/>
      </w:pPr>
      <w:r>
        <w:rPr>
          <w:rFonts w:ascii="Times New Roman" w:cs="Times New Roman" w:eastAsia="Times New Roman" w:hAnsi="Times New Roman"/>
          <w:color w:val="2E2E2E"/>
          <w:sz w:val="22"/>
          <w:szCs w:val="22"/>
        </w:rPr>
        <w:t xml:space="preserve">Japan carries a distinctive position into these discussions as the only country to have suffered atomic attack and as an advanced nuclear power state operating an extensive civilian programme under full safeguards, a combination that has historically given Tokyo credibility on nonproliferation.</w:t>
      </w:r>
    </w:p>
    <w:p>
      <w:pPr>
        <w:spacing w:after="120" w:before="0" w:line="300"/>
        <w:jc w:val="both"/>
      </w:pPr>
      <w:r>
        <w:rPr>
          <w:rFonts w:ascii="Times New Roman" w:cs="Times New Roman" w:eastAsia="Times New Roman" w:hAnsi="Times New Roman"/>
          <w:color w:val="2E2E2E"/>
          <w:sz w:val="22"/>
          <w:szCs w:val="22"/>
        </w:rPr>
        <w:t xml:space="preserve">That civilian programme is itself under domestic scrutiny this week following the Hamaoka data falsification case, an awkward juxtaposition for a delegation arguing the merits of rigorous verification abroad.</w:t>
      </w:r>
    </w:p>
    <w:p>
      <w:pPr>
        <w:spacing w:after="120" w:before="0" w:line="300"/>
        <w:jc w:val="both"/>
      </w:pPr>
      <w:r>
        <w:rPr>
          <w:rFonts w:ascii="Times New Roman" w:cs="Times New Roman" w:eastAsia="Times New Roman" w:hAnsi="Times New Roman"/>
          <w:color w:val="2E2E2E"/>
          <w:sz w:val="22"/>
          <w:szCs w:val="22"/>
        </w:rPr>
        <w:t xml:space="preserve">Verification is the recurring theme connecting both, since the agency's entire model rests on the proposition that declarations must be independently checked rather than accepted, which is precisely the lesson Japan's own regulator has just had confirmed at home.</w:t>
      </w:r>
    </w:p>
    <w:p>
      <w:pPr>
        <w:spacing w:after="120" w:before="0" w:line="300"/>
        <w:jc w:val="both"/>
      </w:pPr>
      <w:r>
        <w:rPr>
          <w:rFonts w:ascii="Times New Roman" w:cs="Times New Roman" w:eastAsia="Times New Roman" w:hAnsi="Times New Roman"/>
          <w:color w:val="2E2E2E"/>
          <w:sz w:val="22"/>
          <w:szCs w:val="22"/>
        </w:rPr>
        <w:t xml:space="preserve">The agency's safeguards system rests on states declaring their nuclear material and activities and on inspectors verifying those declarations, an arrangement whose effectiveness depends entirely on access.</w:t>
      </w:r>
    </w:p>
    <w:p>
      <w:pPr>
        <w:spacing w:after="120" w:before="0" w:line="300"/>
        <w:jc w:val="both"/>
      </w:pPr>
      <w:r>
        <w:rPr>
          <w:rFonts w:ascii="Times New Roman" w:cs="Times New Roman" w:eastAsia="Times New Roman" w:hAnsi="Times New Roman"/>
          <w:color w:val="2E2E2E"/>
          <w:sz w:val="22"/>
          <w:szCs w:val="22"/>
        </w:rPr>
        <w:t xml:space="preserve">The Additional Protocol, adopted after undeclared activities were discovered in Iraq in the 1990s, expanded inspector access considerably, and whether a state applies it is a central question in any safeguards dispute.</w:t>
      </w:r>
    </w:p>
    <w:p>
      <w:pPr>
        <w:spacing w:after="120" w:before="0" w:line="300"/>
        <w:jc w:val="both"/>
      </w:pPr>
      <w:r>
        <w:rPr>
          <w:rFonts w:ascii="Times New Roman" w:cs="Times New Roman" w:eastAsia="Times New Roman" w:hAnsi="Times New Roman"/>
          <w:color w:val="2E2E2E"/>
          <w:sz w:val="22"/>
          <w:szCs w:val="22"/>
        </w:rPr>
        <w:t xml:space="preserve">Iran's cooperation has varied over two decades, with periods of expanded access alternating with restrictions, and each change alters what the agency can state with confidence about the programme.</w:t>
      </w:r>
    </w:p>
    <w:p>
      <w:pPr>
        <w:spacing w:after="120" w:before="0" w:line="300"/>
        <w:jc w:val="both"/>
      </w:pPr>
      <w:r>
        <w:rPr>
          <w:rFonts w:ascii="Times New Roman" w:cs="Times New Roman" w:eastAsia="Times New Roman" w:hAnsi="Times New Roman"/>
          <w:color w:val="2E2E2E"/>
          <w:sz w:val="22"/>
          <w:szCs w:val="22"/>
        </w:rPr>
        <w:t xml:space="preserve">Continuity of knowledge is the technical term for what inspectors lose when access lapses, since verification depends on an unbroken record and gaps cannot be reconstructed retrospectively.</w:t>
      </w:r>
    </w:p>
    <w:p>
      <w:pPr>
        <w:spacing w:after="120" w:before="0" w:line="300"/>
        <w:jc w:val="both"/>
      </w:pPr>
      <w:r>
        <w:rPr>
          <w:rFonts w:ascii="Times New Roman" w:cs="Times New Roman" w:eastAsia="Times New Roman" w:hAnsi="Times New Roman"/>
          <w:color w:val="2E2E2E"/>
          <w:sz w:val="22"/>
          <w:szCs w:val="22"/>
        </w:rPr>
        <w:t xml:space="preserve">Japan operates the largest civilian nuclear programme of any non-nuclear-weapon state, including reprocessing capability, which means its own safeguards arrangements are among the most extensive the agency administers.</w:t>
      </w:r>
    </w:p>
    <w:p>
      <w:pPr>
        <w:spacing w:after="120" w:before="0" w:line="300"/>
        <w:jc w:val="both"/>
      </w:pPr>
      <w:r>
        <w:rPr>
          <w:rFonts w:ascii="Times New Roman" w:cs="Times New Roman" w:eastAsia="Times New Roman" w:hAnsi="Times New Roman"/>
          <w:color w:val="2E2E2E"/>
          <w:sz w:val="22"/>
          <w:szCs w:val="22"/>
        </w:rPr>
        <w:t xml:space="preserve">That position has given Japan standing in nonproliferation diplomacy, resting on a record of full cooperation that domestic regulatory failures do nothing to strengthen.</w:t>
      </w:r>
    </w:p>
    <w:p>
      <w:pPr>
        <w:spacing w:after="120" w:before="0" w:line="300"/>
        <w:jc w:val="both"/>
      </w:pPr>
      <w:r>
        <w:rPr>
          <w:rFonts w:ascii="Times New Roman" w:cs="Times New Roman" w:eastAsia="Times New Roman" w:hAnsi="Times New Roman"/>
          <w:color w:val="2E2E2E"/>
          <w:sz w:val="22"/>
          <w:szCs w:val="22"/>
        </w:rPr>
        <w:t xml:space="preserve">The agency's budget and staffing have not grown in proportion to the verification workload it now carries, a constraint member states acknowledge more readily than they fund.</w:t>
      </w:r>
    </w:p>
    <w:p>
      <w:pPr>
        <w:spacing w:after="120" w:before="0" w:line="300"/>
        <w:jc w:val="both"/>
      </w:pPr>
      <w:r>
        <w:rPr>
          <w:rFonts w:ascii="Times New Roman" w:cs="Times New Roman" w:eastAsia="Times New Roman" w:hAnsi="Times New Roman"/>
          <w:color w:val="2E2E2E"/>
          <w:sz w:val="22"/>
          <w:szCs w:val="22"/>
        </w:rPr>
        <w:t xml:space="preserve">Safeguards work depends on continuity, and inspectors returning after a gap in access face the task of reconstructing a record rather than simply resuming observation.</w:t>
      </w:r>
    </w:p>
    <w:p>
      <w:pPr>
        <w:spacing w:after="120" w:before="0" w:line="300"/>
        <w:jc w:val="both"/>
      </w:pPr>
      <w:r>
        <w:rPr>
          <w:rFonts w:ascii="Times New Roman" w:cs="Times New Roman" w:eastAsia="Times New Roman" w:hAnsi="Times New Roman"/>
          <w:color w:val="2E2E2E"/>
          <w:sz w:val="22"/>
          <w:szCs w:val="22"/>
        </w:rPr>
        <w:t xml:space="preserve">Japan's own facilities receive among the most extensive inspection activity of any state, a workload that reflects the scale of its civilian programme rather than any particular suspicion.</w:t>
      </w:r>
    </w:p>
    <w:p>
      <w:pPr>
        <w:spacing w:after="200" w:before="40"/>
        <w:jc w:val="right"/>
      </w:pPr>
      <w:r>
        <w:rPr>
          <w:rFonts w:ascii="Helvetica" w:cs="Helvetica" w:eastAsia="Helvetica" w:hAnsi="Helvetica"/>
          <w:i/>
          <w:iCs/>
          <w:color w:val="888888"/>
          <w:sz w:val="16"/>
          <w:szCs w:val="16"/>
        </w:rPr>
        <w:t xml:space="preserve">[465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Third Round of UN Secretary-General Voting Expected Thursday</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A third round of voting in the United Nations Secretary-General election may be held on the 17th, with reform and the organisation's financial difficulties identified as the key issues, according to Yomiuri Shimbun.</w:t>
      </w:r>
    </w:p>
    <w:p>
      <w:pPr>
        <w:spacing w:after="120" w:before="0" w:line="300"/>
        <w:jc w:val="both"/>
      </w:pPr>
      <w:r>
        <w:rPr>
          <w:rFonts w:ascii="Times New Roman" w:cs="Times New Roman" w:eastAsia="Times New Roman" w:hAnsi="Times New Roman"/>
          <w:color w:val="2E2E2E"/>
          <w:sz w:val="22"/>
          <w:szCs w:val="22"/>
        </w:rPr>
        <w:t xml:space="preserve">Reaching a third round indicates that no candidate has yet assembled the necessary support in the Security Council, where any of the five permanent members can block a nomination and frequently has.</w:t>
      </w:r>
    </w:p>
    <w:p>
      <w:pPr>
        <w:spacing w:after="120" w:before="0" w:line="300"/>
        <w:jc w:val="both"/>
      </w:pPr>
      <w:r>
        <w:rPr>
          <w:rFonts w:ascii="Times New Roman" w:cs="Times New Roman" w:eastAsia="Times New Roman" w:hAnsi="Times New Roman"/>
          <w:color w:val="2E2E2E"/>
          <w:sz w:val="22"/>
          <w:szCs w:val="22"/>
        </w:rPr>
        <w:t xml:space="preserve">The financial difficulties now shaping the contest are structural rather than cyclical. The organisation has run persistent liquidity problems driven by late and withheld assessed contributions, forcing hiring freezes and programme curtailments.</w:t>
      </w:r>
    </w:p>
    <w:p>
      <w:pPr>
        <w:spacing w:after="120" w:before="0" w:line="300"/>
        <w:jc w:val="both"/>
      </w:pPr>
      <w:r>
        <w:rPr>
          <w:rFonts w:ascii="Times New Roman" w:cs="Times New Roman" w:eastAsia="Times New Roman" w:hAnsi="Times New Roman"/>
          <w:color w:val="2E2E2E"/>
          <w:sz w:val="22"/>
          <w:szCs w:val="22"/>
        </w:rPr>
        <w:t xml:space="preserve">Reform means different things to different member states, which is part of why it is hard to deliver. To some it means Security Council expansion, to others budgetary discipline, to others a narrowed mandate, and the candidate who satisfies one constituency often alienates another.</w:t>
      </w:r>
    </w:p>
    <w:p>
      <w:pPr>
        <w:spacing w:after="120" w:before="0" w:line="300"/>
        <w:jc w:val="both"/>
      </w:pPr>
      <w:r>
        <w:rPr>
          <w:rFonts w:ascii="Times New Roman" w:cs="Times New Roman" w:eastAsia="Times New Roman" w:hAnsi="Times New Roman"/>
          <w:color w:val="2E2E2E"/>
          <w:sz w:val="22"/>
          <w:szCs w:val="22"/>
        </w:rPr>
        <w:t xml:space="preserve">Japan has pursued Security Council reform for decades, seeking permanent membership as one of the organisation's largest financial contributors, an ambition that has repeatedly foundered on exactly the veto arithmetic now shaping this selection.</w:t>
      </w:r>
    </w:p>
    <w:p>
      <w:pPr>
        <w:spacing w:after="120" w:before="0" w:line="300"/>
        <w:jc w:val="both"/>
      </w:pPr>
      <w:r>
        <w:rPr>
          <w:rFonts w:ascii="Times New Roman" w:cs="Times New Roman" w:eastAsia="Times New Roman" w:hAnsi="Times New Roman"/>
          <w:color w:val="2E2E2E"/>
          <w:sz w:val="22"/>
          <w:szCs w:val="22"/>
        </w:rPr>
        <w:t xml:space="preserve">The selection process combines Security Council recommendation with General Assembly appointment, a structure that gives the permanent five decisive influence while preserving the broader membership's formal role.</w:t>
      </w:r>
    </w:p>
    <w:p>
      <w:pPr>
        <w:spacing w:after="120" w:before="0" w:line="300"/>
        <w:jc w:val="both"/>
      </w:pPr>
      <w:r>
        <w:rPr>
          <w:rFonts w:ascii="Times New Roman" w:cs="Times New Roman" w:eastAsia="Times New Roman" w:hAnsi="Times New Roman"/>
          <w:color w:val="2E2E2E"/>
          <w:sz w:val="22"/>
          <w:szCs w:val="22"/>
        </w:rPr>
        <w:t xml:space="preserve">Selection proceeds through a series of straw polls in the Security Council, in which members indicate encouragement, discouragement or no opinion, with the permanent five distinguished from the rest in later rounds.</w:t>
      </w:r>
    </w:p>
    <w:p>
      <w:pPr>
        <w:spacing w:after="120" w:before="0" w:line="300"/>
        <w:jc w:val="both"/>
      </w:pPr>
      <w:r>
        <w:rPr>
          <w:rFonts w:ascii="Times New Roman" w:cs="Times New Roman" w:eastAsia="Times New Roman" w:hAnsi="Times New Roman"/>
          <w:color w:val="2E2E2E"/>
          <w:sz w:val="22"/>
          <w:szCs w:val="22"/>
        </w:rPr>
        <w:t xml:space="preserve">That distinction is what makes the process effectively a veto arrangement, since a candidate discouraged by any permanent member cannot advance regardless of broader support.</w:t>
      </w:r>
    </w:p>
    <w:p>
      <w:pPr>
        <w:spacing w:after="120" w:before="0" w:line="300"/>
        <w:jc w:val="both"/>
      </w:pPr>
      <w:r>
        <w:rPr>
          <w:rFonts w:ascii="Times New Roman" w:cs="Times New Roman" w:eastAsia="Times New Roman" w:hAnsi="Times New Roman"/>
          <w:color w:val="2E2E2E"/>
          <w:sz w:val="22"/>
          <w:szCs w:val="22"/>
        </w:rPr>
        <w:t xml:space="preserve">Recent selections have been accompanied by pressure for greater transparency, including public hearings with candidates, reforms that have made the process more visible without altering where the decision actually rests.</w:t>
      </w:r>
    </w:p>
    <w:p>
      <w:pPr>
        <w:spacing w:after="120" w:before="0" w:line="300"/>
        <w:jc w:val="both"/>
      </w:pPr>
      <w:r>
        <w:rPr>
          <w:rFonts w:ascii="Times New Roman" w:cs="Times New Roman" w:eastAsia="Times New Roman" w:hAnsi="Times New Roman"/>
          <w:color w:val="2E2E2E"/>
          <w:sz w:val="22"/>
          <w:szCs w:val="22"/>
        </w:rPr>
        <w:t xml:space="preserve">The financial difficulties now prominent reflect a structural problem: assessed contributions are obligatory but late payment carries limited consequence, leaving the organisation dependent on cash flow it cannot control.</w:t>
      </w:r>
    </w:p>
    <w:p>
      <w:pPr>
        <w:spacing w:after="120" w:before="0" w:line="300"/>
        <w:jc w:val="both"/>
      </w:pPr>
      <w:r>
        <w:rPr>
          <w:rFonts w:ascii="Times New Roman" w:cs="Times New Roman" w:eastAsia="Times New Roman" w:hAnsi="Times New Roman"/>
          <w:color w:val="2E2E2E"/>
          <w:sz w:val="22"/>
          <w:szCs w:val="22"/>
        </w:rPr>
        <w:t xml:space="preserve">Hiring freezes and programme reductions have followed, which affects the operational work that constitutes most of what the organisation actually does.</w:t>
      </w:r>
    </w:p>
    <w:p>
      <w:pPr>
        <w:spacing w:after="120" w:before="0" w:line="300"/>
        <w:jc w:val="both"/>
      </w:pPr>
      <w:r>
        <w:rPr>
          <w:rFonts w:ascii="Times New Roman" w:cs="Times New Roman" w:eastAsia="Times New Roman" w:hAnsi="Times New Roman"/>
          <w:color w:val="2E2E2E"/>
          <w:sz w:val="22"/>
          <w:szCs w:val="22"/>
        </w:rPr>
        <w:t xml:space="preserve">Japan is among the largest assessed contributors and has pressed for Security Council reform for decades, an ambition that runs into the same veto arithmetic shaping this selection.</w:t>
      </w:r>
    </w:p>
    <w:p>
      <w:pPr>
        <w:spacing w:after="200" w:before="40"/>
        <w:jc w:val="right"/>
      </w:pPr>
      <w:r>
        <w:rPr>
          <w:rFonts w:ascii="Helvetica" w:cs="Helvetica" w:eastAsia="Helvetica" w:hAnsi="Helvetica"/>
          <w:i/>
          <w:iCs/>
          <w:color w:val="888888"/>
          <w:sz w:val="16"/>
          <w:szCs w:val="16"/>
        </w:rPr>
        <w:t xml:space="preserve">[367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BRICS Summit Ends With Members Sharing a Bed but Not a Dream</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The BRICS summit has concluded with members diverging on both direction and regional situations, a split Yomiuri Shimbun characterised with the phrase about different dreams in the same bed.</w:t>
      </w:r>
    </w:p>
    <w:p>
      <w:pPr>
        <w:spacing w:after="120" w:before="0" w:line="300"/>
        <w:jc w:val="both"/>
      </w:pPr>
      <w:r>
        <w:rPr>
          <w:rFonts w:ascii="Times New Roman" w:cs="Times New Roman" w:eastAsia="Times New Roman" w:hAnsi="Times New Roman"/>
          <w:color w:val="2E2E2E"/>
          <w:sz w:val="22"/>
          <w:szCs w:val="22"/>
        </w:rPr>
        <w:t xml:space="preserve">The expression captures the grouping's central difficulty. BRICS has expanded its membership considerably while its members' interests have not converged correspondingly, leaving an organisation larger in headcount and no more coherent in purpose.</w:t>
      </w:r>
    </w:p>
    <w:p>
      <w:pPr>
        <w:spacing w:after="120" w:before="0" w:line="300"/>
        <w:jc w:val="both"/>
      </w:pPr>
      <w:r>
        <w:rPr>
          <w:rFonts w:ascii="Times New Roman" w:cs="Times New Roman" w:eastAsia="Times New Roman" w:hAnsi="Times New Roman"/>
          <w:color w:val="2E2E2E"/>
          <w:sz w:val="22"/>
          <w:szCs w:val="22"/>
        </w:rPr>
        <w:t xml:space="preserve">The divergences are not subtle. China and Russia approach the grouping as a counterweight to Western institutions. India maintains close security cooperation with the United States and Japan through the Quad. Brazil and South Africa pursue their own regional priorities that align with neither.</w:t>
      </w:r>
    </w:p>
    <w:p>
      <w:pPr>
        <w:spacing w:after="120" w:before="0" w:line="300"/>
        <w:jc w:val="both"/>
      </w:pPr>
      <w:r>
        <w:rPr>
          <w:rFonts w:ascii="Times New Roman" w:cs="Times New Roman" w:eastAsia="Times New Roman" w:hAnsi="Times New Roman"/>
          <w:color w:val="2E2E2E"/>
          <w:sz w:val="22"/>
          <w:szCs w:val="22"/>
        </w:rPr>
        <w:t xml:space="preserve">Regional conflicts sharpen those divisions further, since members hold genuinely opposed positions on several active situations, which makes communiqué language a negotiation over ambiguity rather than a statement of shared view.</w:t>
      </w:r>
    </w:p>
    <w:p>
      <w:pPr>
        <w:spacing w:after="120" w:before="0" w:line="300"/>
        <w:jc w:val="both"/>
      </w:pPr>
      <w:r>
        <w:rPr>
          <w:rFonts w:ascii="Times New Roman" w:cs="Times New Roman" w:eastAsia="Times New Roman" w:hAnsi="Times New Roman"/>
          <w:color w:val="2E2E2E"/>
          <w:sz w:val="22"/>
          <w:szCs w:val="22"/>
        </w:rPr>
        <w:t xml:space="preserve">Japan watches BRICS with interest mainly for what it reveals about whether an alternative institutional order is actually forming or merely being discussed, a question this summit appears to have left where it found it.</w:t>
      </w:r>
    </w:p>
    <w:p>
      <w:pPr>
        <w:spacing w:after="120" w:before="0" w:line="300"/>
        <w:jc w:val="both"/>
      </w:pPr>
      <w:r>
        <w:rPr>
          <w:rFonts w:ascii="Times New Roman" w:cs="Times New Roman" w:eastAsia="Times New Roman" w:hAnsi="Times New Roman"/>
          <w:color w:val="2E2E2E"/>
          <w:sz w:val="22"/>
          <w:szCs w:val="22"/>
        </w:rPr>
        <w:t xml:space="preserve">The grouping's practical achievements remain concentrated in development finance, where the New Development Bank operates as a genuine institution, rather than in the geopolitical coordination the summits are framed around.</w:t>
      </w:r>
    </w:p>
    <w:p>
      <w:pPr>
        <w:spacing w:after="120" w:before="0" w:line="300"/>
        <w:jc w:val="both"/>
      </w:pPr>
      <w:r>
        <w:rPr>
          <w:rFonts w:ascii="Times New Roman" w:cs="Times New Roman" w:eastAsia="Times New Roman" w:hAnsi="Times New Roman"/>
          <w:color w:val="2E2E2E"/>
          <w:sz w:val="22"/>
          <w:szCs w:val="22"/>
        </w:rPr>
        <w:t xml:space="preserve">The grouping originated as an investment category rather than a political project, coined to describe large emerging economies before the countries themselves adopted the label and began meeting.</w:t>
      </w:r>
    </w:p>
    <w:p>
      <w:pPr>
        <w:spacing w:after="120" w:before="0" w:line="300"/>
        <w:jc w:val="both"/>
      </w:pPr>
      <w:r>
        <w:rPr>
          <w:rFonts w:ascii="Times New Roman" w:cs="Times New Roman" w:eastAsia="Times New Roman" w:hAnsi="Times New Roman"/>
          <w:color w:val="2E2E2E"/>
          <w:sz w:val="22"/>
          <w:szCs w:val="22"/>
        </w:rPr>
        <w:t xml:space="preserve">That origin explains some of the incoherence. Membership was defined by economic scale and growth trajectory rather than by shared interest, and the political alignment was retrofitted afterward.</w:t>
      </w:r>
    </w:p>
    <w:p>
      <w:pPr>
        <w:spacing w:after="120" w:before="0" w:line="300"/>
        <w:jc w:val="both"/>
      </w:pPr>
      <w:r>
        <w:rPr>
          <w:rFonts w:ascii="Times New Roman" w:cs="Times New Roman" w:eastAsia="Times New Roman" w:hAnsi="Times New Roman"/>
          <w:color w:val="2E2E2E"/>
          <w:sz w:val="22"/>
          <w:szCs w:val="22"/>
        </w:rPr>
        <w:t xml:space="preserve">Expansion has compounded the problem by adding members whose relations with each other and with the West vary widely, which narrows the range of positions all can endorse.</w:t>
      </w:r>
    </w:p>
    <w:p>
      <w:pPr>
        <w:spacing w:after="120" w:before="0" w:line="300"/>
        <w:jc w:val="both"/>
      </w:pPr>
      <w:r>
        <w:rPr>
          <w:rFonts w:ascii="Times New Roman" w:cs="Times New Roman" w:eastAsia="Times New Roman" w:hAnsi="Times New Roman"/>
          <w:color w:val="2E2E2E"/>
          <w:sz w:val="22"/>
          <w:szCs w:val="22"/>
        </w:rPr>
        <w:t xml:space="preserve">The New Development Bank represents the most concrete institutional output, lending for infrastructure and development projects on terms its members regard as less conditional than those of established institutions.</w:t>
      </w:r>
    </w:p>
    <w:p>
      <w:pPr>
        <w:spacing w:after="120" w:before="0" w:line="300"/>
        <w:jc w:val="both"/>
      </w:pPr>
      <w:r>
        <w:rPr>
          <w:rFonts w:ascii="Times New Roman" w:cs="Times New Roman" w:eastAsia="Times New Roman" w:hAnsi="Times New Roman"/>
          <w:color w:val="2E2E2E"/>
          <w:sz w:val="22"/>
          <w:szCs w:val="22"/>
        </w:rPr>
        <w:t xml:space="preserve">Proposals for reduced dollar dependence in trade settlement have advanced slowly, constrained by the practical difficulty of building payment infrastructure participants trust more than the existing system.</w:t>
      </w:r>
    </w:p>
    <w:p>
      <w:pPr>
        <w:spacing w:after="120" w:before="0" w:line="300"/>
        <w:jc w:val="both"/>
      </w:pPr>
      <w:r>
        <w:rPr>
          <w:rFonts w:ascii="Times New Roman" w:cs="Times New Roman" w:eastAsia="Times New Roman" w:hAnsi="Times New Roman"/>
          <w:color w:val="2E2E2E"/>
          <w:sz w:val="22"/>
          <w:szCs w:val="22"/>
        </w:rPr>
        <w:t xml:space="preserve">For Japan the grouping is worth watching less for what it agrees than for whether it becomes capable of agreeing at all, which would signal a genuine institutional alternative rather than a recurring conference.</w:t>
      </w:r>
    </w:p>
    <w:p>
      <w:pPr>
        <w:spacing w:after="200" w:before="40"/>
        <w:jc w:val="right"/>
      </w:pPr>
      <w:r>
        <w:rPr>
          <w:rFonts w:ascii="Helvetica" w:cs="Helvetica" w:eastAsia="Helvetica" w:hAnsi="Helvetica"/>
          <w:i/>
          <w:iCs/>
          <w:color w:val="888888"/>
          <w:sz w:val="16"/>
          <w:szCs w:val="16"/>
        </w:rPr>
        <w:t xml:space="preserve">[376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Mindanao Votes on Parliament to Anchor Autonomy</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Parliamentary elections to establish autonomy in Mindanao, in the Philippines, are being held on the 15th, with results expected to become clear, according to Yomiuri Shimbun.</w:t>
      </w:r>
    </w:p>
    <w:p>
      <w:pPr>
        <w:spacing w:after="120" w:before="0" w:line="300"/>
        <w:jc w:val="both"/>
      </w:pPr>
      <w:r>
        <w:rPr>
          <w:rFonts w:ascii="Times New Roman" w:cs="Times New Roman" w:eastAsia="Times New Roman" w:hAnsi="Times New Roman"/>
          <w:color w:val="2E2E2E"/>
          <w:sz w:val="22"/>
          <w:szCs w:val="22"/>
        </w:rPr>
        <w:t xml:space="preserve">The vote is the institutional culmination of a peace process that ended one of Asia's longest-running insurgencies, converting a negotiated settlement into a functioning regional government with an elected parliament rather than an appointed transitional authority.</w:t>
      </w:r>
    </w:p>
    <w:p>
      <w:pPr>
        <w:spacing w:after="120" w:before="0" w:line="300"/>
        <w:jc w:val="both"/>
      </w:pPr>
      <w:r>
        <w:rPr>
          <w:rFonts w:ascii="Times New Roman" w:cs="Times New Roman" w:eastAsia="Times New Roman" w:hAnsi="Times New Roman"/>
          <w:color w:val="2E2E2E"/>
          <w:sz w:val="22"/>
          <w:szCs w:val="22"/>
        </w:rPr>
        <w:t xml:space="preserve">Japan has supported the Mindanao peace process substantially, providing development assistance and participating in the international monitoring arrangements, making the election's outcome a return on a sustained diplomatic and financial investment.</w:t>
      </w:r>
    </w:p>
    <w:p>
      <w:pPr>
        <w:spacing w:after="120" w:before="0" w:line="300"/>
        <w:jc w:val="both"/>
      </w:pPr>
      <w:r>
        <w:rPr>
          <w:rFonts w:ascii="Times New Roman" w:cs="Times New Roman" w:eastAsia="Times New Roman" w:hAnsi="Times New Roman"/>
          <w:color w:val="2E2E2E"/>
          <w:sz w:val="22"/>
          <w:szCs w:val="22"/>
        </w:rPr>
        <w:t xml:space="preserve">Elections that formalise autonomy arrangements carry a specific risk, since they convert former combatants into electoral competitors and test whether groups that fought together will accept losing to one another at the ballot box.</w:t>
      </w:r>
    </w:p>
    <w:p>
      <w:pPr>
        <w:spacing w:after="120" w:before="0" w:line="300"/>
        <w:jc w:val="both"/>
      </w:pPr>
      <w:r>
        <w:rPr>
          <w:rFonts w:ascii="Times New Roman" w:cs="Times New Roman" w:eastAsia="Times New Roman" w:hAnsi="Times New Roman"/>
          <w:color w:val="2E2E2E"/>
          <w:sz w:val="22"/>
          <w:szCs w:val="22"/>
        </w:rPr>
        <w:t xml:space="preserve">A credible result would strengthen the settlement's legitimacy considerably. A contested or low-turnout one would give spoilers on either side an argument, which is why observers focus as much on process as on outcome.</w:t>
      </w:r>
    </w:p>
    <w:p>
      <w:pPr>
        <w:spacing w:after="120" w:before="0" w:line="300"/>
        <w:jc w:val="both"/>
      </w:pPr>
      <w:r>
        <w:rPr>
          <w:rFonts w:ascii="Times New Roman" w:cs="Times New Roman" w:eastAsia="Times New Roman" w:hAnsi="Times New Roman"/>
          <w:color w:val="2E2E2E"/>
          <w:sz w:val="22"/>
          <w:szCs w:val="22"/>
        </w:rPr>
        <w:t xml:space="preserve">Results are expected to become clear following the close of polling, with the composition of the new parliament determining how the autonomous government's early period is governed.</w:t>
      </w:r>
    </w:p>
    <w:p>
      <w:pPr>
        <w:spacing w:after="120" w:before="0" w:line="300"/>
        <w:jc w:val="both"/>
      </w:pPr>
      <w:r>
        <w:rPr>
          <w:rFonts w:ascii="Times New Roman" w:cs="Times New Roman" w:eastAsia="Times New Roman" w:hAnsi="Times New Roman"/>
          <w:color w:val="2E2E2E"/>
          <w:sz w:val="22"/>
          <w:szCs w:val="22"/>
        </w:rPr>
        <w:t xml:space="preserve">The conflict that this settlement ended ran for decades and cost well over a hundred thousand lives, making it among the most protracted insurgencies in Southeast Asia.</w:t>
      </w:r>
    </w:p>
    <w:p>
      <w:pPr>
        <w:spacing w:after="120" w:before="0" w:line="300"/>
        <w:jc w:val="both"/>
      </w:pPr>
      <w:r>
        <w:rPr>
          <w:rFonts w:ascii="Times New Roman" w:cs="Times New Roman" w:eastAsia="Times New Roman" w:hAnsi="Times New Roman"/>
          <w:color w:val="2E2E2E"/>
          <w:sz w:val="22"/>
          <w:szCs w:val="22"/>
        </w:rPr>
        <w:t xml:space="preserve">The peace agreement established a transitional authority to govern the autonomous region while institutions were built, and the parliamentary election converts that appointed body into an elected one.</w:t>
      </w:r>
    </w:p>
    <w:p>
      <w:pPr>
        <w:spacing w:after="120" w:before="0" w:line="300"/>
        <w:jc w:val="both"/>
      </w:pPr>
      <w:r>
        <w:rPr>
          <w:rFonts w:ascii="Times New Roman" w:cs="Times New Roman" w:eastAsia="Times New Roman" w:hAnsi="Times New Roman"/>
          <w:color w:val="2E2E2E"/>
          <w:sz w:val="22"/>
          <w:szCs w:val="22"/>
        </w:rPr>
        <w:t xml:space="preserve">Transitions of this kind test whether former combatants accept electoral defeat, which is the point at which negotiated settlements most commonly fail.</w:t>
      </w:r>
    </w:p>
    <w:p>
      <w:pPr>
        <w:spacing w:after="120" w:before="0" w:line="300"/>
        <w:jc w:val="both"/>
      </w:pPr>
      <w:r>
        <w:rPr>
          <w:rFonts w:ascii="Times New Roman" w:cs="Times New Roman" w:eastAsia="Times New Roman" w:hAnsi="Times New Roman"/>
          <w:color w:val="2E2E2E"/>
          <w:sz w:val="22"/>
          <w:szCs w:val="22"/>
        </w:rPr>
        <w:t xml:space="preserve">Japan's involvement included development assistance and participation in the international monitoring arrangements, a sustained commitment reflecting Tokyo's broader interest in Southeast Asian stability.</w:t>
      </w:r>
    </w:p>
    <w:p>
      <w:pPr>
        <w:spacing w:after="120" w:before="0" w:line="300"/>
        <w:jc w:val="both"/>
      </w:pPr>
      <w:r>
        <w:rPr>
          <w:rFonts w:ascii="Times New Roman" w:cs="Times New Roman" w:eastAsia="Times New Roman" w:hAnsi="Times New Roman"/>
          <w:color w:val="2E2E2E"/>
          <w:sz w:val="22"/>
          <w:szCs w:val="22"/>
        </w:rPr>
        <w:t xml:space="preserve">Economic development has been the settlement's weakest element, with the region remaining among the Philippines' poorest, a gap that supplies continuing grievance regardless of political arrangements.</w:t>
      </w:r>
    </w:p>
    <w:p>
      <w:pPr>
        <w:spacing w:after="120" w:before="0" w:line="300"/>
        <w:jc w:val="both"/>
      </w:pPr>
      <w:r>
        <w:rPr>
          <w:rFonts w:ascii="Times New Roman" w:cs="Times New Roman" w:eastAsia="Times New Roman" w:hAnsi="Times New Roman"/>
          <w:color w:val="2E2E2E"/>
          <w:sz w:val="22"/>
          <w:szCs w:val="22"/>
        </w:rPr>
        <w:t xml:space="preserve">Observers will weigh turnout and the conduct of polling as heavily as the result, since a process widely accepted as fair strengthens the settlement in ways any particular outcome does not.</w:t>
      </w:r>
    </w:p>
    <w:p>
      <w:pPr>
        <w:spacing w:after="200" w:before="40"/>
        <w:jc w:val="right"/>
      </w:pPr>
      <w:r>
        <w:rPr>
          <w:rFonts w:ascii="Helvetica" w:cs="Helvetica" w:eastAsia="Helvetica" w:hAnsi="Helvetica"/>
          <w:i/>
          <w:iCs/>
          <w:color w:val="888888"/>
          <w:sz w:val="16"/>
          <w:szCs w:val="16"/>
        </w:rPr>
        <w:t xml:space="preserve">[345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Shipping Risk Premiums Hold as Chokepoint Pressure Continues</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Elevated crude prices and continued disruption around the Gulf's maritime chokepoints have kept shipping risk premiums at levels that have persisted for months, with the expected three-to-five-week repair of Saudi Arabia's East-West pipeline removing one of the alternatives to transiting the Strait of Hormuz.</w:t>
      </w:r>
    </w:p>
    <w:p>
      <w:pPr>
        <w:spacing w:after="120" w:before="0" w:line="300"/>
        <w:jc w:val="both"/>
      </w:pPr>
      <w:r>
        <w:rPr>
          <w:rFonts w:ascii="Times New Roman" w:cs="Times New Roman" w:eastAsia="Times New Roman" w:hAnsi="Times New Roman"/>
          <w:color w:val="2E2E2E"/>
          <w:sz w:val="22"/>
          <w:szCs w:val="22"/>
        </w:rPr>
        <w:t xml:space="preserve">War-risk insurance for vessels transiting affected waters is priced on assessed probability rather than demonstrated capability, which means premiums respond to incidents and rhetoric rather than to any measurable change in a hostile force's ability to interdict traffic.</w:t>
      </w:r>
    </w:p>
    <w:p>
      <w:pPr>
        <w:spacing w:after="120" w:before="0" w:line="300"/>
        <w:jc w:val="both"/>
      </w:pPr>
      <w:r>
        <w:rPr>
          <w:rFonts w:ascii="Times New Roman" w:cs="Times New Roman" w:eastAsia="Times New Roman" w:hAnsi="Times New Roman"/>
          <w:color w:val="2E2E2E"/>
          <w:sz w:val="22"/>
          <w:szCs w:val="22"/>
        </w:rPr>
        <w:t xml:space="preserve">That pricing mechanism is what gives relatively small actions disproportionate economic effect, a dynamic today's cartoon addresses directly and the editorial page examines at length.</w:t>
      </w:r>
    </w:p>
    <w:p>
      <w:pPr>
        <w:spacing w:after="120" w:before="0" w:line="300"/>
        <w:jc w:val="both"/>
      </w:pPr>
      <w:r>
        <w:rPr>
          <w:rFonts w:ascii="Times New Roman" w:cs="Times New Roman" w:eastAsia="Times New Roman" w:hAnsi="Times New Roman"/>
          <w:color w:val="2E2E2E"/>
          <w:sz w:val="22"/>
          <w:szCs w:val="22"/>
        </w:rPr>
        <w:t xml:space="preserve">Japanese shipping lines operating tankers and container vessels through the region have continued transiting rather than rerouting, a judgment that the elevated premium remains cheaper than the fuel and time cost of the alternative passage.</w:t>
      </w:r>
    </w:p>
    <w:p>
      <w:pPr>
        <w:spacing w:after="120" w:before="0" w:line="300"/>
        <w:jc w:val="both"/>
      </w:pPr>
      <w:r>
        <w:rPr>
          <w:rFonts w:ascii="Times New Roman" w:cs="Times New Roman" w:eastAsia="Times New Roman" w:hAnsi="Times New Roman"/>
          <w:color w:val="2E2E2E"/>
          <w:sz w:val="22"/>
          <w:szCs w:val="22"/>
        </w:rPr>
        <w:t xml:space="preserve">The cumulative cost of months of elevated premiums has not yet appeared fully in corporate disclosures, which report on quarterly cycles that lag the operating conditions they describe.</w:t>
      </w:r>
    </w:p>
    <w:p>
      <w:pPr>
        <w:spacing w:after="120" w:before="0" w:line="300"/>
        <w:jc w:val="both"/>
      </w:pPr>
      <w:r>
        <w:rPr>
          <w:rFonts w:ascii="Times New Roman" w:cs="Times New Roman" w:eastAsia="Times New Roman" w:hAnsi="Times New Roman"/>
          <w:color w:val="2E2E2E"/>
          <w:sz w:val="22"/>
          <w:szCs w:val="22"/>
        </w:rPr>
        <w:t xml:space="preserve">For Japan, which imports the overwhelming majority of its crude through these waters, the premium is ultimately paid by domestic energy consumers through utility tariffs and fuel prices.</w:t>
      </w:r>
    </w:p>
    <w:p>
      <w:pPr>
        <w:spacing w:after="120" w:before="0" w:line="300"/>
        <w:jc w:val="both"/>
      </w:pPr>
      <w:r>
        <w:rPr>
          <w:rFonts w:ascii="Times New Roman" w:cs="Times New Roman" w:eastAsia="Times New Roman" w:hAnsi="Times New Roman"/>
          <w:color w:val="2E2E2E"/>
          <w:sz w:val="22"/>
          <w:szCs w:val="22"/>
        </w:rPr>
        <w:t xml:space="preserve">War-risk cover is priced separately from ordinary marine insurance and is quoted for defined areas, with underwriters adjusting rates as their assessment of a region changes.</w:t>
      </w:r>
    </w:p>
    <w:p>
      <w:pPr>
        <w:spacing w:after="120" w:before="0" w:line="300"/>
        <w:jc w:val="both"/>
      </w:pPr>
      <w:r>
        <w:rPr>
          <w:rFonts w:ascii="Times New Roman" w:cs="Times New Roman" w:eastAsia="Times New Roman" w:hAnsi="Times New Roman"/>
          <w:color w:val="2E2E2E"/>
          <w:sz w:val="22"/>
          <w:szCs w:val="22"/>
        </w:rPr>
        <w:t xml:space="preserve">Those assessments respond to incidents rather than to capability analysis, which means a single attack can reset premiums that had drifted downward over weeks of quiet.</w:t>
      </w:r>
    </w:p>
    <w:p>
      <w:pPr>
        <w:spacing w:after="120" w:before="0" w:line="300"/>
        <w:jc w:val="both"/>
      </w:pPr>
      <w:r>
        <w:rPr>
          <w:rFonts w:ascii="Times New Roman" w:cs="Times New Roman" w:eastAsia="Times New Roman" w:hAnsi="Times New Roman"/>
          <w:color w:val="2E2E2E"/>
          <w:sz w:val="22"/>
          <w:szCs w:val="22"/>
        </w:rPr>
        <w:t xml:space="preserve">Rerouting around the Cape of Good Hope adds substantial distance to voyages between the Gulf and Asia, with the fuel and time cost falling on charterers and ultimately on cargo owners.</w:t>
      </w:r>
    </w:p>
    <w:p>
      <w:pPr>
        <w:spacing w:after="120" w:before="0" w:line="300"/>
        <w:jc w:val="both"/>
      </w:pPr>
      <w:r>
        <w:rPr>
          <w:rFonts w:ascii="Times New Roman" w:cs="Times New Roman" w:eastAsia="Times New Roman" w:hAnsi="Times New Roman"/>
          <w:color w:val="2E2E2E"/>
          <w:sz w:val="22"/>
          <w:szCs w:val="22"/>
        </w:rPr>
        <w:t xml:space="preserve">Crew considerations weigh alongside commercial ones, since seafarer unions have raised concerns about transits through contested waters and some operators have faced difficulty crewing affected routes.</w:t>
      </w:r>
    </w:p>
    <w:p>
      <w:pPr>
        <w:spacing w:after="120" w:before="0" w:line="300"/>
        <w:jc w:val="both"/>
      </w:pPr>
      <w:r>
        <w:rPr>
          <w:rFonts w:ascii="Times New Roman" w:cs="Times New Roman" w:eastAsia="Times New Roman" w:hAnsi="Times New Roman"/>
          <w:color w:val="2E2E2E"/>
          <w:sz w:val="22"/>
          <w:szCs w:val="22"/>
        </w:rPr>
        <w:t xml:space="preserve">Japanese shipping lines operate substantial tanker fleets serving domestic energy importers, which makes their routing decisions a direct input to Japan's own energy costs.</w:t>
      </w:r>
    </w:p>
    <w:p>
      <w:pPr>
        <w:spacing w:after="120" w:before="0" w:line="300"/>
        <w:jc w:val="both"/>
      </w:pPr>
      <w:r>
        <w:rPr>
          <w:rFonts w:ascii="Times New Roman" w:cs="Times New Roman" w:eastAsia="Times New Roman" w:hAnsi="Times New Roman"/>
          <w:color w:val="2E2E2E"/>
          <w:sz w:val="22"/>
          <w:szCs w:val="22"/>
        </w:rPr>
        <w:t xml:space="preserve">The cumulative effect of sustained elevated premiums appears in corporate results with a lag, since quarterly reporting describes conditions already some months old by publication.</w:t>
      </w:r>
    </w:p>
    <w:p>
      <w:pPr>
        <w:spacing w:after="200" w:before="40"/>
        <w:jc w:val="right"/>
      </w:pPr>
      <w:r>
        <w:rPr>
          <w:rFonts w:ascii="Helvetica" w:cs="Helvetica" w:eastAsia="Helvetica" w:hAnsi="Helvetica"/>
          <w:i/>
          <w:iCs/>
          <w:color w:val="888888"/>
          <w:sz w:val="16"/>
          <w:szCs w:val="16"/>
        </w:rPr>
        <w:t xml:space="preserve">[356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Iran's Nuclear File Returns to Vienna Amid an Active Conflict</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The opening of the International Atomic Energy Agency's General Conference places Iran's nuclear file back before the agency's full membership at a moment when the underlying dispute sits inside an active military conflict.</w:t>
      </w:r>
    </w:p>
    <w:p>
      <w:pPr>
        <w:spacing w:after="120" w:before="0" w:line="300"/>
        <w:jc w:val="both"/>
      </w:pPr>
      <w:r>
        <w:rPr>
          <w:rFonts w:ascii="Times New Roman" w:cs="Times New Roman" w:eastAsia="Times New Roman" w:hAnsi="Times New Roman"/>
          <w:color w:val="2E2E2E"/>
          <w:sz w:val="22"/>
          <w:szCs w:val="22"/>
        </w:rPr>
        <w:t xml:space="preserve">Verification is the agency's central function and its central difficulty in this case, since inspection access depends on the cooperation of a state that has periodically restricted it and that is currently at war with one of the agency's most influential members.</w:t>
      </w:r>
    </w:p>
    <w:p>
      <w:pPr>
        <w:spacing w:after="120" w:before="0" w:line="300"/>
        <w:jc w:val="both"/>
      </w:pPr>
      <w:r>
        <w:rPr>
          <w:rFonts w:ascii="Times New Roman" w:cs="Times New Roman" w:eastAsia="Times New Roman" w:hAnsi="Times New Roman"/>
          <w:color w:val="2E2E2E"/>
          <w:sz w:val="22"/>
          <w:szCs w:val="22"/>
        </w:rPr>
        <w:t xml:space="preserve">The conflict complicates the technical work in practical ways. Inspectors require safe access to sites, and the conditions that make a war zone dangerous for anyone make routine safeguards activity difficult to sustain.</w:t>
      </w:r>
    </w:p>
    <w:p>
      <w:pPr>
        <w:spacing w:after="120" w:before="0" w:line="300"/>
        <w:jc w:val="both"/>
      </w:pPr>
      <w:r>
        <w:rPr>
          <w:rFonts w:ascii="Times New Roman" w:cs="Times New Roman" w:eastAsia="Times New Roman" w:hAnsi="Times New Roman"/>
          <w:color w:val="2E2E2E"/>
          <w:sz w:val="22"/>
          <w:szCs w:val="22"/>
        </w:rPr>
        <w:t xml:space="preserve">Member states arriving in Vienna hold sharply divergent views on how to proceed, which makes the General Conference a venue for stating positions more often than for resolving them.</w:t>
      </w:r>
    </w:p>
    <w:p>
      <w:pPr>
        <w:spacing w:after="120" w:before="0" w:line="300"/>
        <w:jc w:val="both"/>
      </w:pPr>
      <w:r>
        <w:rPr>
          <w:rFonts w:ascii="Times New Roman" w:cs="Times New Roman" w:eastAsia="Times New Roman" w:hAnsi="Times New Roman"/>
          <w:color w:val="2E2E2E"/>
          <w:sz w:val="22"/>
          <w:szCs w:val="22"/>
        </w:rPr>
        <w:t xml:space="preserve">Japan's position combines its nonproliferation commitments with its status as a major civilian nuclear operator under comprehensive safeguards, a combination that has historically given Tokyo standing in these discussions.</w:t>
      </w:r>
    </w:p>
    <w:p>
      <w:pPr>
        <w:spacing w:after="120" w:before="0" w:line="300"/>
        <w:jc w:val="both"/>
      </w:pPr>
      <w:r>
        <w:rPr>
          <w:rFonts w:ascii="Times New Roman" w:cs="Times New Roman" w:eastAsia="Times New Roman" w:hAnsi="Times New Roman"/>
          <w:color w:val="2E2E2E"/>
          <w:sz w:val="22"/>
          <w:szCs w:val="22"/>
        </w:rPr>
        <w:t xml:space="preserve">Outcomes at a General Conference are typically expressed through resolutions whose language is negotiated carefully enough to obscure as much disagreement as it records.</w:t>
      </w:r>
    </w:p>
    <w:p>
      <w:pPr>
        <w:spacing w:after="120" w:before="0" w:line="300"/>
        <w:jc w:val="both"/>
      </w:pPr>
      <w:r>
        <w:rPr>
          <w:rFonts w:ascii="Times New Roman" w:cs="Times New Roman" w:eastAsia="Times New Roman" w:hAnsi="Times New Roman"/>
          <w:color w:val="2E2E2E"/>
          <w:sz w:val="22"/>
          <w:szCs w:val="22"/>
        </w:rPr>
        <w:t xml:space="preserve">Enrichment is the technical centre of the dispute, since the same centrifuge cascades that produce reactor fuel can, operated differently, produce weapons-grade material.</w:t>
      </w:r>
    </w:p>
    <w:p>
      <w:pPr>
        <w:spacing w:after="120" w:before="0" w:line="300"/>
        <w:jc w:val="both"/>
      </w:pPr>
      <w:r>
        <w:rPr>
          <w:rFonts w:ascii="Times New Roman" w:cs="Times New Roman" w:eastAsia="Times New Roman" w:hAnsi="Times New Roman"/>
          <w:color w:val="2E2E2E"/>
          <w:sz w:val="22"/>
          <w:szCs w:val="22"/>
        </w:rPr>
        <w:t xml:space="preserve">The stockpile question follows from that, with the quantity and enrichment level of material held determining how quickly a decision to weaponise could be executed.</w:t>
      </w:r>
    </w:p>
    <w:p>
      <w:pPr>
        <w:spacing w:after="120" w:before="0" w:line="300"/>
        <w:jc w:val="both"/>
      </w:pPr>
      <w:r>
        <w:rPr>
          <w:rFonts w:ascii="Times New Roman" w:cs="Times New Roman" w:eastAsia="Times New Roman" w:hAnsi="Times New Roman"/>
          <w:color w:val="2E2E2E"/>
          <w:sz w:val="22"/>
          <w:szCs w:val="22"/>
        </w:rPr>
        <w:t xml:space="preserve">Monitoring equipment installed under earlier arrangements provided continuous data, and its removal or disconnection at various points has been among the most consequential access disputes.</w:t>
      </w:r>
    </w:p>
    <w:p>
      <w:pPr>
        <w:spacing w:after="120" w:before="0" w:line="300"/>
        <w:jc w:val="both"/>
      </w:pPr>
      <w:r>
        <w:rPr>
          <w:rFonts w:ascii="Times New Roman" w:cs="Times New Roman" w:eastAsia="Times New Roman" w:hAnsi="Times New Roman"/>
          <w:color w:val="2E2E2E"/>
          <w:sz w:val="22"/>
          <w:szCs w:val="22"/>
        </w:rPr>
        <w:t xml:space="preserve">Armed conflict introduces physical risks to nuclear facilities independent of the proliferation question, a concern the agency has raised in other theatres and which applies here.</w:t>
      </w:r>
    </w:p>
    <w:p>
      <w:pPr>
        <w:spacing w:after="120" w:before="0" w:line="300"/>
        <w:jc w:val="both"/>
      </w:pPr>
      <w:r>
        <w:rPr>
          <w:rFonts w:ascii="Times New Roman" w:cs="Times New Roman" w:eastAsia="Times New Roman" w:hAnsi="Times New Roman"/>
          <w:color w:val="2E2E2E"/>
          <w:sz w:val="22"/>
          <w:szCs w:val="22"/>
        </w:rPr>
        <w:t xml:space="preserve">Member states divide on whether pressure or engagement is more likely to restore access, a disagreement that has persisted through successive diplomatic cycles.</w:t>
      </w:r>
    </w:p>
    <w:p>
      <w:pPr>
        <w:spacing w:after="120" w:before="0" w:line="300"/>
        <w:jc w:val="both"/>
      </w:pPr>
      <w:r>
        <w:rPr>
          <w:rFonts w:ascii="Times New Roman" w:cs="Times New Roman" w:eastAsia="Times New Roman" w:hAnsi="Times New Roman"/>
          <w:color w:val="2E2E2E"/>
          <w:sz w:val="22"/>
          <w:szCs w:val="22"/>
        </w:rPr>
        <w:t xml:space="preserve">The General Conference offers a venue for positions to be recorded rather than reconciled, with substantive movement, when it occurs, generally happening elsewhere.</w:t>
      </w:r>
    </w:p>
    <w:p>
      <w:pPr>
        <w:spacing w:after="200" w:before="40"/>
        <w:jc w:val="right"/>
      </w:pPr>
      <w:r>
        <w:rPr>
          <w:rFonts w:ascii="Helvetica" w:cs="Helvetica" w:eastAsia="Helvetica" w:hAnsi="Helvetica"/>
          <w:i/>
          <w:iCs/>
          <w:color w:val="888888"/>
          <w:sz w:val="16"/>
          <w:szCs w:val="16"/>
        </w:rPr>
        <w:t xml:space="preserve">[335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Expansion Has Made BRICS Larger Without Making It Coherent</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The summit's conclusion with members diverging on direction and regional situations reflects a structural consequence of the grouping's recent expansion rather than a failure of any particular meeting.</w:t>
      </w:r>
    </w:p>
    <w:p>
      <w:pPr>
        <w:spacing w:after="120" w:before="0" w:line="300"/>
        <w:jc w:val="both"/>
      </w:pPr>
      <w:r>
        <w:rPr>
          <w:rFonts w:ascii="Times New Roman" w:cs="Times New Roman" w:eastAsia="Times New Roman" w:hAnsi="Times New Roman"/>
          <w:color w:val="2E2E2E"/>
          <w:sz w:val="22"/>
          <w:szCs w:val="22"/>
        </w:rPr>
        <w:t xml:space="preserve">Adding members broadens the range of interests that any common position must accommodate, and BRICS has added members whose relationships with the West, with China and with each other vary enormously.</w:t>
      </w:r>
    </w:p>
    <w:p>
      <w:pPr>
        <w:spacing w:after="120" w:before="0" w:line="300"/>
        <w:jc w:val="both"/>
      </w:pPr>
      <w:r>
        <w:rPr>
          <w:rFonts w:ascii="Times New Roman" w:cs="Times New Roman" w:eastAsia="Times New Roman" w:hAnsi="Times New Roman"/>
          <w:color w:val="2E2E2E"/>
          <w:sz w:val="22"/>
          <w:szCs w:val="22"/>
        </w:rPr>
        <w:t xml:space="preserve">Organisations facing this problem generally resolve it by narrowing their agenda to areas of genuine overlap, which for BRICS has meant development finance rather than geopolitical coordination.</w:t>
      </w:r>
    </w:p>
    <w:p>
      <w:pPr>
        <w:spacing w:after="120" w:before="0" w:line="300"/>
        <w:jc w:val="both"/>
      </w:pPr>
      <w:r>
        <w:rPr>
          <w:rFonts w:ascii="Times New Roman" w:cs="Times New Roman" w:eastAsia="Times New Roman" w:hAnsi="Times New Roman"/>
          <w:color w:val="2E2E2E"/>
          <w:sz w:val="22"/>
          <w:szCs w:val="22"/>
        </w:rPr>
        <w:t xml:space="preserve">The New Development Bank represents the grouping's most concrete institutional achievement, operating as a functioning multilateral lender regardless of how divided its shareholders are on other questions.</w:t>
      </w:r>
    </w:p>
    <w:p>
      <w:pPr>
        <w:spacing w:after="120" w:before="0" w:line="300"/>
        <w:jc w:val="both"/>
      </w:pPr>
      <w:r>
        <w:rPr>
          <w:rFonts w:ascii="Times New Roman" w:cs="Times New Roman" w:eastAsia="Times New Roman" w:hAnsi="Times New Roman"/>
          <w:color w:val="2E2E2E"/>
          <w:sz w:val="22"/>
          <w:szCs w:val="22"/>
        </w:rPr>
        <w:t xml:space="preserve">Aspirations toward reduced dollar dependence in trade settlement have advanced more slowly, constrained by the practical difficulty of building payment infrastructure that participants trust more than the system it would replace.</w:t>
      </w:r>
    </w:p>
    <w:p>
      <w:pPr>
        <w:spacing w:after="120" w:before="0" w:line="300"/>
        <w:jc w:val="both"/>
      </w:pPr>
      <w:r>
        <w:rPr>
          <w:rFonts w:ascii="Times New Roman" w:cs="Times New Roman" w:eastAsia="Times New Roman" w:hAnsi="Times New Roman"/>
          <w:color w:val="2E2E2E"/>
          <w:sz w:val="22"/>
          <w:szCs w:val="22"/>
        </w:rPr>
        <w:t xml:space="preserve">For Japan the grouping matters mainly as an indicator of whether an alternative institutional order is genuinely forming, a question this summit leaves roughly where it found it.</w:t>
      </w:r>
    </w:p>
    <w:p>
      <w:pPr>
        <w:spacing w:after="120" w:before="0" w:line="300"/>
        <w:jc w:val="both"/>
      </w:pPr>
      <w:r>
        <w:rPr>
          <w:rFonts w:ascii="Times New Roman" w:cs="Times New Roman" w:eastAsia="Times New Roman" w:hAnsi="Times New Roman"/>
          <w:color w:val="2E2E2E"/>
          <w:sz w:val="22"/>
          <w:szCs w:val="22"/>
        </w:rPr>
        <w:t xml:space="preserve">Organisations facing internal divergence generally respond by narrowing their agenda to areas of overlap or by adopting decision rules that permit action without unanimity, and BRICS has done neither decisively.</w:t>
      </w:r>
    </w:p>
    <w:p>
      <w:pPr>
        <w:spacing w:after="120" w:before="0" w:line="300"/>
        <w:jc w:val="both"/>
      </w:pPr>
      <w:r>
        <w:rPr>
          <w:rFonts w:ascii="Times New Roman" w:cs="Times New Roman" w:eastAsia="Times New Roman" w:hAnsi="Times New Roman"/>
          <w:color w:val="2E2E2E"/>
          <w:sz w:val="22"/>
          <w:szCs w:val="22"/>
        </w:rPr>
        <w:t xml:space="preserve">Consensus-based decision-making preserves member sovereignty at the cost of reducing output to whatever the least willing participant accepts, a constraint familiar from other multilateral bodies.</w:t>
      </w:r>
    </w:p>
    <w:p>
      <w:pPr>
        <w:spacing w:after="120" w:before="0" w:line="300"/>
        <w:jc w:val="both"/>
      </w:pPr>
      <w:r>
        <w:rPr>
          <w:rFonts w:ascii="Times New Roman" w:cs="Times New Roman" w:eastAsia="Times New Roman" w:hAnsi="Times New Roman"/>
          <w:color w:val="2E2E2E"/>
          <w:sz w:val="22"/>
          <w:szCs w:val="22"/>
        </w:rPr>
        <w:t xml:space="preserve">India's participation illustrates the difficulty most clearly, given its simultaneous membership of the Quad alongside Japan, the United States and Australia, a grouping whose purpose is not obviously compatible.</w:t>
      </w:r>
    </w:p>
    <w:p>
      <w:pPr>
        <w:spacing w:after="120" w:before="0" w:line="300"/>
        <w:jc w:val="both"/>
      </w:pPr>
      <w:r>
        <w:rPr>
          <w:rFonts w:ascii="Times New Roman" w:cs="Times New Roman" w:eastAsia="Times New Roman" w:hAnsi="Times New Roman"/>
          <w:color w:val="2E2E2E"/>
          <w:sz w:val="22"/>
          <w:szCs w:val="22"/>
        </w:rPr>
        <w:t xml:space="preserve">Brazil and South Africa bring regional priorities and domestic political cycles that shift their engagement independently of the grouping's stated direction.</w:t>
      </w:r>
    </w:p>
    <w:p>
      <w:pPr>
        <w:spacing w:after="120" w:before="0" w:line="300"/>
        <w:jc w:val="both"/>
      </w:pPr>
      <w:r>
        <w:rPr>
          <w:rFonts w:ascii="Times New Roman" w:cs="Times New Roman" w:eastAsia="Times New Roman" w:hAnsi="Times New Roman"/>
          <w:color w:val="2E2E2E"/>
          <w:sz w:val="22"/>
          <w:szCs w:val="22"/>
        </w:rPr>
        <w:t xml:space="preserve">Development finance has proved the durable exception because it requires capital rather than agreement on contested questions, which is why the bank functions while the communiqués struggle.</w:t>
      </w:r>
    </w:p>
    <w:p>
      <w:pPr>
        <w:spacing w:after="120" w:before="0" w:line="300"/>
        <w:jc w:val="both"/>
      </w:pPr>
      <w:r>
        <w:rPr>
          <w:rFonts w:ascii="Times New Roman" w:cs="Times New Roman" w:eastAsia="Times New Roman" w:hAnsi="Times New Roman"/>
          <w:color w:val="2E2E2E"/>
          <w:sz w:val="22"/>
          <w:szCs w:val="22"/>
        </w:rPr>
        <w:t xml:space="preserve">Whether expansion strengthens the grouping's claim to represent the global South or dilutes its capacity to act is the question its next several summits will answer.</w:t>
      </w:r>
    </w:p>
    <w:p>
      <w:pPr>
        <w:spacing w:after="200" w:before="40"/>
        <w:jc w:val="right"/>
      </w:pPr>
      <w:r>
        <w:rPr>
          <w:rFonts w:ascii="Helvetica" w:cs="Helvetica" w:eastAsia="Helvetica" w:hAnsi="Helvetica"/>
          <w:i/>
          <w:iCs/>
          <w:color w:val="888888"/>
          <w:sz w:val="16"/>
          <w:szCs w:val="16"/>
        </w:rPr>
        <w:t xml:space="preserve">[330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After Salalah: What the Gulf-Iran Channel Can and Cannot Deliver</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Monday's meeting in Oman between Gulf and Iranian foreign ministers, the first direct gathering of senior officials from both sides since the war began, has produced no announced agreement, which is roughly what a first meeting after seven months of conflict was ever likely to produce.</w:t>
      </w:r>
    </w:p>
    <w:p>
      <w:pPr>
        <w:spacing w:after="120" w:before="0" w:line="300"/>
        <w:jc w:val="both"/>
      </w:pPr>
      <w:r>
        <w:rPr>
          <w:rFonts w:ascii="Times New Roman" w:cs="Times New Roman" w:eastAsia="Times New Roman" w:hAnsi="Times New Roman"/>
          <w:color w:val="2E2E2E"/>
          <w:sz w:val="22"/>
          <w:szCs w:val="22"/>
        </w:rPr>
        <w:t xml:space="preserve">The proposal under discussion, a temporary division of Strait of Hormuz routing under which inbound vessels transit Iranian waters and outbound vessels Omani waters, is narrow by design. It addresses navigation without touching the political questions that caused the disruption.</w:t>
      </w:r>
    </w:p>
    <w:p>
      <w:pPr>
        <w:spacing w:after="120" w:before="0" w:line="300"/>
        <w:jc w:val="both"/>
      </w:pPr>
      <w:r>
        <w:rPr>
          <w:rFonts w:ascii="Times New Roman" w:cs="Times New Roman" w:eastAsia="Times New Roman" w:hAnsi="Times New Roman"/>
          <w:color w:val="2E2E2E"/>
          <w:sz w:val="22"/>
          <w:szCs w:val="22"/>
        </w:rPr>
        <w:t xml:space="preserve">Narrow proposals succeed more often than broad ones in circumstances like these precisely because they ask neither side to concede anything it regards as fundamental.</w:t>
      </w:r>
    </w:p>
    <w:p>
      <w:pPr>
        <w:spacing w:after="120" w:before="0" w:line="300"/>
        <w:jc w:val="both"/>
      </w:pPr>
      <w:r>
        <w:rPr>
          <w:rFonts w:ascii="Times New Roman" w:cs="Times New Roman" w:eastAsia="Times New Roman" w:hAnsi="Times New Roman"/>
          <w:color w:val="2E2E2E"/>
          <w:sz w:val="22"/>
          <w:szCs w:val="22"/>
        </w:rPr>
        <w:t xml:space="preserve">Oman's role as host follows a long pattern in which the sultanate has provided a channel between Iran and its neighbours and between Iran and Washington, a function that depends on Muscat maintaining relations with all parties.</w:t>
      </w:r>
    </w:p>
    <w:p>
      <w:pPr>
        <w:spacing w:after="120" w:before="0" w:line="300"/>
        <w:jc w:val="both"/>
      </w:pPr>
      <w:r>
        <w:rPr>
          <w:rFonts w:ascii="Times New Roman" w:cs="Times New Roman" w:eastAsia="Times New Roman" w:hAnsi="Times New Roman"/>
          <w:color w:val="2E2E2E"/>
          <w:sz w:val="22"/>
          <w:szCs w:val="22"/>
        </w:rPr>
        <w:t xml:space="preserve">The Gulf states' willingness to engage directly reflects a judgment that American pressure alone has not restored normal shipping and that their own economic exposure justifies a separate track.</w:t>
      </w:r>
    </w:p>
    <w:p>
      <w:pPr>
        <w:spacing w:after="120" w:before="0" w:line="300"/>
        <w:jc w:val="both"/>
      </w:pPr>
      <w:r>
        <w:rPr>
          <w:rFonts w:ascii="Times New Roman" w:cs="Times New Roman" w:eastAsia="Times New Roman" w:hAnsi="Times New Roman"/>
          <w:color w:val="2E2E2E"/>
          <w:sz w:val="22"/>
          <w:szCs w:val="22"/>
        </w:rPr>
        <w:t xml:space="preserve">Washington's parallel financial measures against Iranian institutions continue regardless, which means the diplomatic and pressure tracks are running simultaneously rather than sequentially.</w:t>
      </w:r>
    </w:p>
    <w:p>
      <w:pPr>
        <w:spacing w:after="120" w:before="0" w:line="300"/>
        <w:jc w:val="both"/>
      </w:pPr>
      <w:r>
        <w:rPr>
          <w:rFonts w:ascii="Times New Roman" w:cs="Times New Roman" w:eastAsia="Times New Roman" w:hAnsi="Times New Roman"/>
          <w:color w:val="2E2E2E"/>
          <w:sz w:val="22"/>
          <w:szCs w:val="22"/>
        </w:rPr>
        <w:t xml:space="preserve">For shipping, the test of any arrangement will be whether insurers believe it. War-risk premiums respond to assessed probability, and a routing agreement changes that assessment only if underwriters expect it to hold.</w:t>
      </w:r>
    </w:p>
    <w:p>
      <w:pPr>
        <w:spacing w:after="120" w:before="0" w:line="300"/>
        <w:jc w:val="both"/>
      </w:pPr>
      <w:r>
        <w:rPr>
          <w:rFonts w:ascii="Times New Roman" w:cs="Times New Roman" w:eastAsia="Times New Roman" w:hAnsi="Times New Roman"/>
          <w:color w:val="2E2E2E"/>
          <w:sz w:val="22"/>
          <w:szCs w:val="22"/>
        </w:rPr>
        <w:t xml:space="preserve">Japan's stake is concrete. The bulk of its crude transits the strait, and every week of elevated premiums reaches the import bill and, with a lag, household energy costs.</w:t>
      </w:r>
    </w:p>
    <w:p>
      <w:pPr>
        <w:spacing w:after="120" w:before="0" w:line="300"/>
        <w:jc w:val="both"/>
      </w:pPr>
      <w:r>
        <w:rPr>
          <w:rFonts w:ascii="Times New Roman" w:cs="Times New Roman" w:eastAsia="Times New Roman" w:hAnsi="Times New Roman"/>
          <w:color w:val="2E2E2E"/>
          <w:sz w:val="22"/>
          <w:szCs w:val="22"/>
        </w:rPr>
        <w:t xml:space="preserve">Saudi Arabia's East-West pipeline, the principal route bypassing Hormuz, is expected to remain under repair for three to five weeks, which removes the main alternative during exactly the period any agreement would need to establish itself.</w:t>
      </w:r>
    </w:p>
    <w:p>
      <w:pPr>
        <w:spacing w:after="120" w:before="0" w:line="300"/>
        <w:jc w:val="both"/>
      </w:pPr>
      <w:r>
        <w:rPr>
          <w:rFonts w:ascii="Times New Roman" w:cs="Times New Roman" w:eastAsia="Times New Roman" w:hAnsi="Times New Roman"/>
          <w:color w:val="2E2E2E"/>
          <w:sz w:val="22"/>
          <w:szCs w:val="22"/>
        </w:rPr>
        <w:t xml:space="preserve">Follow-up contact between the parties, if it occurs, will be the indicator worth watching, since a single meeting establishes a channel and a second establishes that both sides intend to use it.</w:t>
      </w:r>
    </w:p>
    <w:p>
      <w:pPr>
        <w:spacing w:after="120" w:before="0" w:line="300"/>
        <w:jc w:val="both"/>
      </w:pPr>
      <w:r>
        <w:rPr>
          <w:rFonts w:ascii="Times New Roman" w:cs="Times New Roman" w:eastAsia="Times New Roman" w:hAnsi="Times New Roman"/>
          <w:color w:val="2E2E2E"/>
          <w:sz w:val="22"/>
          <w:szCs w:val="22"/>
        </w:rPr>
        <w:t xml:space="preserve">The cartoon and editorial elsewhere in this edition examine the broader question of what seizing a chokepoint achieves; the Salalah channel is one measure of how the parties themselves are answering it.</w:t>
      </w:r>
    </w:p>
    <w:p>
      <w:pPr>
        <w:spacing w:after="200" w:before="40"/>
        <w:jc w:val="right"/>
      </w:pPr>
      <w:r>
        <w:rPr>
          <w:rFonts w:ascii="Helvetica" w:cs="Helvetica" w:eastAsia="Helvetica" w:hAnsi="Helvetica"/>
          <w:i/>
          <w:iCs/>
          <w:color w:val="888888"/>
          <w:sz w:val="16"/>
          <w:szCs w:val="16"/>
        </w:rPr>
        <w:t xml:space="preserve">[361 words]</w:t>
      </w:r>
    </w:p>
    <w:p>
      <w:pPr>
        <w:shd w:fill="0D1B2A" w:color="auto" w:val="clear"/>
        <w:spacing w:after="160" w:before="300"/>
        <w:jc w:val="center"/>
      </w:pPr>
      <w:r>
        <w:rPr>
          <w:rFonts w:ascii="Helvetica" w:cs="Helvetica" w:eastAsia="Helvetica" w:hAnsi="Helvetica"/>
          <w:b/>
          <w:bCs/>
          <w:color w:val="FFFFFF"/>
          <w:sz w:val="24"/>
          <w:szCs w:val="24"/>
        </w:rPr>
        <w:t xml:space="preserve">— ECONOMY —</w:t>
      </w:r>
    </w:p>
    <w:p>
      <w:pPr>
        <w:pBdr>
          <w:top w:val="thick" w:color="9B1B2A" w:sz="18"/>
        </w:pBdr>
        <w:spacing w:after="80" w:before="160"/>
      </w:pPr>
      <w:r>
        <w:rPr>
          <w:rFonts w:ascii="Times New Roman" w:cs="Times New Roman" w:eastAsia="Times New Roman" w:hAnsi="Times New Roman"/>
          <w:b/>
          <w:bCs/>
          <w:color w:val="0D1B2A"/>
          <w:sz w:val="40"/>
          <w:szCs w:val="40"/>
        </w:rPr>
        <w:t xml:space="preserve">Nikkei Slides to Six-Week Low as AI Names Lead a Split Market</w:t>
      </w:r>
    </w:p>
    <w:p>
      <w:pPr>
        <w:spacing w:after="40" w:before="40"/>
      </w:pPr>
      <w:r>
        <w:rPr>
          <w:rFonts w:ascii="Times New Roman" w:cs="Times New Roman" w:eastAsia="Times New Roman" w:hAnsi="Times New Roman"/>
          <w:i/>
          <w:iCs/>
          <w:color w:val="9B1B2A"/>
          <w:sz w:val="22"/>
          <w:szCs w:val="22"/>
        </w:rPr>
        <w:t xml:space="preserve">The benchmark closed at 63,492.99 after dipping below 63,000 intraday, yet more than 70% of prime stocks rose and the TOPIX gained 0.74%</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The Nikkei average extended its decline Monday, closing at 63,492.99 yen, down 518.35 points or 0.81%, its lowest close in roughly a month and a half. At one point during the session it slipped below the 63,000 mark, according to Nikkei and Reuters.</w:t>
      </w:r>
    </w:p>
    <w:p>
      <w:pPr>
        <w:spacing w:after="120" w:before="0" w:line="300"/>
        <w:jc w:val="both"/>
      </w:pPr>
      <w:r>
        <w:rPr>
          <w:rFonts w:ascii="Times New Roman" w:cs="Times New Roman" w:eastAsia="Times New Roman" w:hAnsi="Times New Roman"/>
          <w:color w:val="2E2E2E"/>
          <w:sz w:val="22"/>
          <w:szCs w:val="22"/>
        </w:rPr>
        <w:t xml:space="preserve">The headline number conceals a genuinely split market underneath it. The TOPIX rebounded to 4,058.21, a gain of 0.74%, and more than 70% of prime-market issues finished higher. Banks and insurers were bought. Trading volume was relatively light at roughly 7.3 trillion yen.</w:t>
      </w:r>
    </w:p>
    <w:p>
      <w:pPr>
        <w:spacing w:after="120" w:before="0" w:line="300"/>
        <w:jc w:val="both"/>
      </w:pPr>
      <w:r>
        <w:rPr>
          <w:rFonts w:ascii="Times New Roman" w:cs="Times New Roman" w:eastAsia="Times New Roman" w:hAnsi="Times New Roman"/>
          <w:color w:val="2E2E2E"/>
          <w:sz w:val="22"/>
          <w:szCs w:val="22"/>
        </w:rPr>
        <w:t xml:space="preserve">That divergence is the day's real story. A price-weighted index like the Nikkei gives outsized influence to a handful of high-priced technology names, so when artificial intelligence and semiconductor shares sell off hard, the benchmark can fall while the broader market rises beneath it.</w:t>
      </w:r>
    </w:p>
    <w:p>
      <w:pPr>
        <w:spacing w:after="120" w:before="0" w:line="300"/>
        <w:jc w:val="both"/>
      </w:pPr>
      <w:r>
        <w:rPr>
          <w:rFonts w:ascii="Times New Roman" w:cs="Times New Roman" w:eastAsia="Times New Roman" w:hAnsi="Times New Roman"/>
          <w:color w:val="2E2E2E"/>
          <w:sz w:val="22"/>
          <w:szCs w:val="22"/>
        </w:rPr>
        <w:t xml:space="preserve">SoftBank Group fell by more than 10% at one point in the session. Advantest dropped more than 4%, and Tokyo Electron also declined, according to Reuters and FISCO.</w:t>
      </w:r>
    </w:p>
    <w:p>
      <w:pPr>
        <w:spacing w:after="120" w:before="0" w:line="300"/>
        <w:jc w:val="both"/>
      </w:pPr>
      <w:r>
        <w:rPr>
          <w:rFonts w:ascii="Times New Roman" w:cs="Times New Roman" w:eastAsia="Times New Roman" w:hAnsi="Times New Roman"/>
          <w:color w:val="2E2E2E"/>
          <w:sz w:val="22"/>
          <w:szCs w:val="22"/>
        </w:rPr>
        <w:t xml:space="preserve">Several distinct pressures converged. Reports that OpenAI will postpone its initial public offering this year removed a widely anticipated catalyst for AI-linked valuations. The call by Anthropic's chief executive and others for a slowdown in AI development, covered elsewhere in this edition, added a second source of doubt about the sector's trajectory.</w:t>
      </w:r>
    </w:p>
    <w:p>
      <w:pPr>
        <w:spacing w:after="120" w:before="0" w:line="300"/>
        <w:jc w:val="both"/>
      </w:pPr>
      <w:r>
        <w:rPr>
          <w:rFonts w:ascii="Times New Roman" w:cs="Times New Roman" w:eastAsia="Times New Roman" w:hAnsi="Times New Roman"/>
          <w:color w:val="2E2E2E"/>
          <w:sz w:val="22"/>
          <w:szCs w:val="22"/>
        </w:rPr>
        <w:t xml:space="preserve">Rising crude prices and expectations of a US interest rate increase supplied the macro backdrop, pushing bond yields higher and making long-duration growth stories less attractive in exactly the way rising rates usually do.</w:t>
      </w:r>
    </w:p>
    <w:p>
      <w:pPr>
        <w:spacing w:after="120" w:before="0" w:line="300"/>
        <w:jc w:val="both"/>
      </w:pPr>
      <w:r>
        <w:rPr>
          <w:rFonts w:ascii="Times New Roman" w:cs="Times New Roman" w:eastAsia="Times New Roman" w:hAnsi="Times New Roman"/>
          <w:color w:val="2E2E2E"/>
          <w:sz w:val="22"/>
          <w:szCs w:val="22"/>
        </w:rPr>
        <w:t xml:space="preserve">The rotation into banks and insurers follows the same logic in reverse. Higher rates improve the margin lenders earn on new business, which is why financials tend to catch a bid in sessions that punish technology.</w:t>
      </w:r>
    </w:p>
    <w:p>
      <w:pPr>
        <w:spacing w:after="120" w:before="0" w:line="300"/>
        <w:jc w:val="both"/>
      </w:pPr>
      <w:r>
        <w:rPr>
          <w:rFonts w:ascii="Times New Roman" w:cs="Times New Roman" w:eastAsia="Times New Roman" w:hAnsi="Times New Roman"/>
          <w:color w:val="2E2E2E"/>
          <w:sz w:val="22"/>
          <w:szCs w:val="22"/>
        </w:rPr>
        <w:t xml:space="preserve">The dollar traded in the low-to-mid 154 yen range, at roughly 154.36 by the evening of the 14th, according to Traders Web and SBI Shinsei Bank's market report. The US 10-year Treasury yield briefly exceeded 5%.</w:t>
      </w:r>
    </w:p>
    <w:p>
      <w:pPr>
        <w:spacing w:after="120" w:before="0" w:line="300"/>
        <w:jc w:val="both"/>
      </w:pPr>
      <w:r>
        <w:rPr>
          <w:rFonts w:ascii="Times New Roman" w:cs="Times New Roman" w:eastAsia="Times New Roman" w:hAnsi="Times New Roman"/>
          <w:color w:val="2E2E2E"/>
          <w:sz w:val="22"/>
          <w:szCs w:val="22"/>
        </w:rPr>
        <w:t xml:space="preserve">West Texas Intermediate crude held above $100 a barrel, with some reports placing it briefly in the $104 range, a level sustained partly by the expectation that Saudi Arabia's East-West pipeline will need three to five weeks to restore.</w:t>
      </w:r>
    </w:p>
    <w:p>
      <w:pPr>
        <w:spacing w:after="120" w:before="0" w:line="300"/>
        <w:jc w:val="both"/>
      </w:pPr>
      <w:r>
        <w:rPr>
          <w:rFonts w:ascii="Times New Roman" w:cs="Times New Roman" w:eastAsia="Times New Roman" w:hAnsi="Times New Roman"/>
          <w:color w:val="2E2E2E"/>
          <w:sz w:val="22"/>
          <w:szCs w:val="22"/>
        </w:rPr>
        <w:t xml:space="preserve">Two central bank meetings now sit directly ahead. The Federal Open Market Committee meets on the 15th and 16th, and the Bank of Japan on the 17th and 18th. The market has almost fully priced a Japanese rate increase to 1.25%, according to Bloomberg's Japanese service.</w:t>
      </w:r>
    </w:p>
    <w:p>
      <w:pPr>
        <w:spacing w:after="120" w:before="0" w:line="300"/>
        <w:jc w:val="both"/>
      </w:pPr>
      <w:r>
        <w:rPr>
          <w:rFonts w:ascii="Times New Roman" w:cs="Times New Roman" w:eastAsia="Times New Roman" w:hAnsi="Times New Roman"/>
          <w:color w:val="2E2E2E"/>
          <w:sz w:val="22"/>
          <w:szCs w:val="22"/>
        </w:rPr>
        <w:t xml:space="preserve">That pricing matters for what happens if the Bank of Japan delivers. A move already in the price tends to produce a muted reaction, while the sharper risk sits with any surprise in either direction, or with whatever the accompanying statement says about the path afterward.</w:t>
      </w:r>
    </w:p>
    <w:p>
      <w:pPr>
        <w:spacing w:after="120" w:before="0" w:line="300"/>
        <w:jc w:val="both"/>
      </w:pPr>
      <w:r>
        <w:rPr>
          <w:rFonts w:ascii="Times New Roman" w:cs="Times New Roman" w:eastAsia="Times New Roman" w:hAnsi="Times New Roman"/>
          <w:color w:val="2E2E2E"/>
          <w:sz w:val="22"/>
          <w:szCs w:val="22"/>
        </w:rPr>
        <w:t xml:space="preserve">Light volume on a day of sharp single-stock moves suggests positioning rather than conviction, with investors reluctant to commit ahead of two policy decisions inside four days.</w:t>
      </w:r>
    </w:p>
    <w:p>
      <w:pPr>
        <w:spacing w:after="120" w:before="0" w:line="300"/>
        <w:jc w:val="both"/>
      </w:pPr>
      <w:r>
        <w:rPr>
          <w:rFonts w:ascii="Times New Roman" w:cs="Times New Roman" w:eastAsia="Times New Roman" w:hAnsi="Times New Roman"/>
          <w:color w:val="2E2E2E"/>
          <w:sz w:val="22"/>
          <w:szCs w:val="22"/>
        </w:rPr>
        <w:t xml:space="preserve">The Nikkei's construction is worth restating on days like this. It averages the share prices of its constituents with an adjustment factor rather than weighting by market capitalisation, so a company with a high nominal share price influences the index out of proportion to its actual size.</w:t>
      </w:r>
    </w:p>
    <w:p>
      <w:pPr>
        <w:spacing w:after="120" w:before="0" w:line="300"/>
        <w:jc w:val="both"/>
      </w:pPr>
      <w:r>
        <w:rPr>
          <w:rFonts w:ascii="Times New Roman" w:cs="Times New Roman" w:eastAsia="Times New Roman" w:hAnsi="Times New Roman"/>
          <w:color w:val="2E2E2E"/>
          <w:sz w:val="22"/>
          <w:szCs w:val="22"/>
        </w:rPr>
        <w:t xml:space="preserve">That structural quirk is why the TOPIX, which weights by capitalisation across the entire prime market, can rise on a day the Nikkei falls sharply. The two indices were not disagreeing about the market so much as measuring different things.</w:t>
      </w:r>
    </w:p>
    <w:p>
      <w:pPr>
        <w:spacing w:after="120" w:before="0" w:line="300"/>
        <w:jc w:val="both"/>
      </w:pPr>
      <w:r>
        <w:rPr>
          <w:rFonts w:ascii="Times New Roman" w:cs="Times New Roman" w:eastAsia="Times New Roman" w:hAnsi="Times New Roman"/>
          <w:color w:val="2E2E2E"/>
          <w:sz w:val="22"/>
          <w:szCs w:val="22"/>
        </w:rPr>
        <w:t xml:space="preserve">Light volume compounds the effect. With roughly 7.3 trillion yen traded, a relatively thin figure, individual large orders move prices further than they would in a deeper session, which exaggerates single-stock swings.</w:t>
      </w:r>
    </w:p>
    <w:p>
      <w:pPr>
        <w:spacing w:after="120" w:before="0" w:line="300"/>
        <w:jc w:val="both"/>
      </w:pPr>
      <w:r>
        <w:rPr>
          <w:rFonts w:ascii="Times New Roman" w:cs="Times New Roman" w:eastAsia="Times New Roman" w:hAnsi="Times New Roman"/>
          <w:color w:val="2E2E2E"/>
          <w:sz w:val="22"/>
          <w:szCs w:val="22"/>
        </w:rPr>
        <w:t xml:space="preserve">Foreign investors have been substantial net participants in Japanese equities through this year's rally, and their positioning ahead of a Bank of Japan decision that would narrow the interest-rate differential is among the variables domestic strategists have been watching.</w:t>
      </w:r>
    </w:p>
    <w:p>
      <w:pPr>
        <w:spacing w:after="120" w:before="0" w:line="300"/>
        <w:jc w:val="both"/>
      </w:pPr>
      <w:r>
        <w:rPr>
          <w:rFonts w:ascii="Times New Roman" w:cs="Times New Roman" w:eastAsia="Times New Roman" w:hAnsi="Times New Roman"/>
          <w:color w:val="2E2E2E"/>
          <w:sz w:val="22"/>
          <w:szCs w:val="22"/>
        </w:rPr>
        <w:t xml:space="preserve">The rotation visible Monday, out of technology and into banks and insurers, is the textbook response to a higher-rate outlook, since lenders earn more on new business while long-duration growth valuations compress.</w:t>
      </w:r>
    </w:p>
    <w:p>
      <w:pPr>
        <w:spacing w:after="120" w:before="0" w:line="300"/>
        <w:jc w:val="both"/>
      </w:pPr>
      <w:r>
        <w:rPr>
          <w:rFonts w:ascii="Times New Roman" w:cs="Times New Roman" w:eastAsia="Times New Roman" w:hAnsi="Times New Roman"/>
          <w:color w:val="2E2E2E"/>
          <w:sz w:val="22"/>
          <w:szCs w:val="22"/>
        </w:rPr>
        <w:t xml:space="preserve">Japanese equities entered this year on a strong run, and the index remains substantially higher over twelve months despite September's pullback, which is context that a single session's decline tends to obscure.</w:t>
      </w:r>
    </w:p>
    <w:p>
      <w:pPr>
        <w:spacing w:after="120" w:before="0" w:line="300"/>
        <w:jc w:val="both"/>
      </w:pPr>
      <w:r>
        <w:rPr>
          <w:rFonts w:ascii="Times New Roman" w:cs="Times New Roman" w:eastAsia="Times New Roman" w:hAnsi="Times New Roman"/>
          <w:color w:val="2E2E2E"/>
          <w:sz w:val="22"/>
          <w:szCs w:val="22"/>
        </w:rPr>
        <w:t xml:space="preserve">What has changed is the composition of the market's leadership. A rally driven by artificial intelligence exposure is vulnerable to any news that questions the pace of AI investment, and Monday supplied two such items at once.</w:t>
      </w:r>
    </w:p>
    <w:p>
      <w:pPr>
        <w:spacing w:after="120" w:before="0" w:line="300"/>
        <w:jc w:val="both"/>
      </w:pPr>
      <w:r>
        <w:rPr>
          <w:rFonts w:ascii="Times New Roman" w:cs="Times New Roman" w:eastAsia="Times New Roman" w:hAnsi="Times New Roman"/>
          <w:color w:val="2E2E2E"/>
          <w:sz w:val="22"/>
          <w:szCs w:val="22"/>
        </w:rPr>
        <w:t xml:space="preserve">Domestic institutional investors have generally been net sellers into this year's strength, taking profits accumulated over a long rally, while foreign buyers have supplied the marginal demand that carried the index higher.</w:t>
      </w:r>
    </w:p>
    <w:p>
      <w:pPr>
        <w:spacing w:after="200" w:before="40"/>
        <w:jc w:val="right"/>
      </w:pPr>
      <w:r>
        <w:rPr>
          <w:rFonts w:ascii="Helvetica" w:cs="Helvetica" w:eastAsia="Helvetica" w:hAnsi="Helvetica"/>
          <w:i/>
          <w:iCs/>
          <w:color w:val="888888"/>
          <w:sz w:val="16"/>
          <w:szCs w:val="16"/>
        </w:rPr>
        <w:t xml:space="preserve">[765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US Long-Term Yields Briefly Top 5% as Oil Drives Bond Selling</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US long-term interest rates temporarily rose above 5%, with bond selling driven by rising crude oil prices, according to Yomiuri Shimbun and Sankei Shimbun. The Federal Open Market Committee meets on the 15th and 16th.</w:t>
      </w:r>
    </w:p>
    <w:p>
      <w:pPr>
        <w:spacing w:after="120" w:before="0" w:line="300"/>
        <w:jc w:val="both"/>
      </w:pPr>
      <w:r>
        <w:rPr>
          <w:rFonts w:ascii="Times New Roman" w:cs="Times New Roman" w:eastAsia="Times New Roman" w:hAnsi="Times New Roman"/>
          <w:color w:val="2E2E2E"/>
          <w:sz w:val="22"/>
          <w:szCs w:val="22"/>
        </w:rPr>
        <w:t xml:space="preserve">A 10-year Treasury yield above 5% is a threshold with psychological weight beyond its arithmetic, representing a level that reprices assets across every market that discounts future cash flows, Japanese equities very much included.</w:t>
      </w:r>
    </w:p>
    <w:p>
      <w:pPr>
        <w:spacing w:after="120" w:before="0" w:line="300"/>
        <w:jc w:val="both"/>
      </w:pPr>
      <w:r>
        <w:rPr>
          <w:rFonts w:ascii="Times New Roman" w:cs="Times New Roman" w:eastAsia="Times New Roman" w:hAnsi="Times New Roman"/>
          <w:color w:val="2E2E2E"/>
          <w:sz w:val="22"/>
          <w:szCs w:val="22"/>
        </w:rPr>
        <w:t xml:space="preserve">The mechanism running from oil to bonds is direct. Higher energy prices feed inflation expectations, inflation expectations raise the compensation investors demand for holding long-dated debt, and that demand pushes yields up and prices down.</w:t>
      </w:r>
    </w:p>
    <w:p>
      <w:pPr>
        <w:spacing w:after="120" w:before="0" w:line="300"/>
        <w:jc w:val="both"/>
      </w:pPr>
      <w:r>
        <w:rPr>
          <w:rFonts w:ascii="Times New Roman" w:cs="Times New Roman" w:eastAsia="Times New Roman" w:hAnsi="Times New Roman"/>
          <w:color w:val="2E2E2E"/>
          <w:sz w:val="22"/>
          <w:szCs w:val="22"/>
        </w:rPr>
        <w:t xml:space="preserve">For Japanese investors, the effect arrives twice. Higher US yields make dollar assets more attractive relative to yen assets, and they raise the global discount rate applied to exactly the growth and technology names that led Monday's Nikkei decline.</w:t>
      </w:r>
    </w:p>
    <w:p>
      <w:pPr>
        <w:spacing w:after="120" w:before="0" w:line="300"/>
        <w:jc w:val="both"/>
      </w:pPr>
      <w:r>
        <w:rPr>
          <w:rFonts w:ascii="Times New Roman" w:cs="Times New Roman" w:eastAsia="Times New Roman" w:hAnsi="Times New Roman"/>
          <w:color w:val="2E2E2E"/>
          <w:sz w:val="22"/>
          <w:szCs w:val="22"/>
        </w:rPr>
        <w:t xml:space="preserve">The timing places the yield move immediately before an FOMC meeting where markets have been pricing the possibility of an increase rather than the cuts widely expected earlier in the year, a reversal that has been building for several weeks.</w:t>
      </w:r>
    </w:p>
    <w:p>
      <w:pPr>
        <w:spacing w:after="120" w:before="0" w:line="300"/>
        <w:jc w:val="both"/>
      </w:pPr>
      <w:r>
        <w:rPr>
          <w:rFonts w:ascii="Times New Roman" w:cs="Times New Roman" w:eastAsia="Times New Roman" w:hAnsi="Times New Roman"/>
          <w:color w:val="2E2E2E"/>
          <w:sz w:val="22"/>
          <w:szCs w:val="22"/>
        </w:rPr>
        <w:t xml:space="preserve">Japanese institutional investors hold substantial US Treasury positions, making the level of American long-term yields a live balance-sheet question for domestic insurers and pension funds rather than an abstract foreign data point.</w:t>
      </w:r>
    </w:p>
    <w:p>
      <w:pPr>
        <w:spacing w:after="120" w:before="0" w:line="300"/>
        <w:jc w:val="both"/>
      </w:pPr>
      <w:r>
        <w:rPr>
          <w:rFonts w:ascii="Times New Roman" w:cs="Times New Roman" w:eastAsia="Times New Roman" w:hAnsi="Times New Roman"/>
          <w:color w:val="2E2E2E"/>
          <w:sz w:val="22"/>
          <w:szCs w:val="22"/>
        </w:rPr>
        <w:t xml:space="preserve">Long-term yields are decomposed by analysts into an expected policy path and a term premium, the extra compensation demanded for holding duration risk, and energy-driven inflation uncertainty tends to raise the second component rather than the first.</w:t>
      </w:r>
    </w:p>
    <w:p>
      <w:pPr>
        <w:spacing w:after="120" w:before="0" w:line="300"/>
        <w:jc w:val="both"/>
      </w:pPr>
      <w:r>
        <w:rPr>
          <w:rFonts w:ascii="Times New Roman" w:cs="Times New Roman" w:eastAsia="Times New Roman" w:hAnsi="Times New Roman"/>
          <w:color w:val="2E2E2E"/>
          <w:sz w:val="22"/>
          <w:szCs w:val="22"/>
        </w:rPr>
        <w:t xml:space="preserve">That distinction matters for interpretation. A yield rise driven by term premium reflects uncertainty about the future rather than confidence that policy rates will remain high, which is a less reassuring reason for bonds to sell off.</w:t>
      </w:r>
    </w:p>
    <w:p>
      <w:pPr>
        <w:spacing w:after="120" w:before="0" w:line="300"/>
        <w:jc w:val="both"/>
      </w:pPr>
      <w:r>
        <w:rPr>
          <w:rFonts w:ascii="Times New Roman" w:cs="Times New Roman" w:eastAsia="Times New Roman" w:hAnsi="Times New Roman"/>
          <w:color w:val="2E2E2E"/>
          <w:sz w:val="22"/>
          <w:szCs w:val="22"/>
        </w:rPr>
        <w:t xml:space="preserve">Japanese life insurers and pension funds hold substantial foreign bond portfolios, and the hedging costs attached to those positions have moved with the interest-rate differential between the two countries.</w:t>
      </w:r>
    </w:p>
    <w:p>
      <w:pPr>
        <w:spacing w:after="120" w:before="0" w:line="300"/>
        <w:jc w:val="both"/>
      </w:pPr>
      <w:r>
        <w:rPr>
          <w:rFonts w:ascii="Times New Roman" w:cs="Times New Roman" w:eastAsia="Times New Roman" w:hAnsi="Times New Roman"/>
          <w:color w:val="2E2E2E"/>
          <w:sz w:val="22"/>
          <w:szCs w:val="22"/>
        </w:rPr>
        <w:t xml:space="preserve">The Bank of Japan's own yield curve has normalised gradually from the period of explicit control, which means Japanese long-term rates now respond to global conditions more directly than they did when the central bank was capping them.</w:t>
      </w:r>
    </w:p>
    <w:p>
      <w:pPr>
        <w:spacing w:after="120" w:before="0" w:line="300"/>
        <w:jc w:val="both"/>
      </w:pPr>
      <w:r>
        <w:rPr>
          <w:rFonts w:ascii="Times New Roman" w:cs="Times New Roman" w:eastAsia="Times New Roman" w:hAnsi="Times New Roman"/>
          <w:color w:val="2E2E2E"/>
          <w:sz w:val="22"/>
          <w:szCs w:val="22"/>
        </w:rPr>
        <w:t xml:space="preserve">A sustained American yield above 5% would tighten global financial conditions broadly, an effect that reaches Japanese borrowers and equity valuations regardless of what the Bank of Japan decides this week.</w:t>
      </w:r>
    </w:p>
    <w:p>
      <w:pPr>
        <w:spacing w:after="200" w:before="40"/>
        <w:jc w:val="right"/>
      </w:pPr>
      <w:r>
        <w:rPr>
          <w:rFonts w:ascii="Helvetica" w:cs="Helvetica" w:eastAsia="Helvetica" w:hAnsi="Helvetica"/>
          <w:i/>
          <w:iCs/>
          <w:color w:val="888888"/>
          <w:sz w:val="16"/>
          <w:szCs w:val="16"/>
        </w:rPr>
        <w:t xml:space="preserve">[387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Markets, Currencies and Prices at a Glance</w:t>
      </w:r>
    </w:p>
    <w:p>
      <w:pPr>
        <w:pBdr>
          <w:bottom w:val="single" w:color="CCCCCC" w:sz="4"/>
        </w:pBdr>
        <w:spacing w:after="120" w:before="40"/>
      </w:pPr>
      <w:r>
        <w:rPr>
          <w:rFonts w:ascii="Helvetica" w:cs="Helvetica" w:eastAsia="Helvetica" w:hAnsi="Helvetica"/>
          <w:i/>
          <w:iCs/>
          <w:color w:val="888888"/>
          <w:sz w:val="18"/>
          <w:szCs w:val="18"/>
        </w:rPr>
        <w:t xml:space="preserve">Compiled by the Economics Desk</w:t>
      </w:r>
    </w:p>
    <w:p>
      <w:pPr>
        <w:spacing w:after="120" w:before="0" w:line="300"/>
        <w:jc w:val="both"/>
      </w:pPr>
      <w:r>
        <w:rPr>
          <w:rFonts w:ascii="Times New Roman" w:cs="Times New Roman" w:eastAsia="Times New Roman" w:hAnsi="Times New Roman"/>
          <w:color w:val="2E2E2E"/>
          <w:sz w:val="22"/>
          <w:szCs w:val="22"/>
        </w:rPr>
        <w:t xml:space="preserve">NIKKEI 225 (Sept. 14 close): 63,492.99 yen, down 518.35 points or 0.81%. Lowest close in roughly six weeks. Briefly below 63,000 intraday.</w:t>
      </w:r>
    </w:p>
    <w:p>
      <w:pPr>
        <w:spacing w:after="120" w:before="0" w:line="300"/>
        <w:jc w:val="both"/>
      </w:pPr>
      <w:r>
        <w:rPr>
          <w:rFonts w:ascii="Times New Roman" w:cs="Times New Roman" w:eastAsia="Times New Roman" w:hAnsi="Times New Roman"/>
          <w:color w:val="2E2E2E"/>
          <w:sz w:val="22"/>
          <w:szCs w:val="22"/>
        </w:rPr>
        <w:t xml:space="preserve">TOPIX (Sept. 14 close): 4,058.21, up 0.74%. More than 70% of prime-market issues rose. Banks and insurers bought.</w:t>
      </w:r>
    </w:p>
    <w:p>
      <w:pPr>
        <w:spacing w:after="120" w:before="0" w:line="300"/>
        <w:jc w:val="both"/>
      </w:pPr>
      <w:r>
        <w:rPr>
          <w:rFonts w:ascii="Times New Roman" w:cs="Times New Roman" w:eastAsia="Times New Roman" w:hAnsi="Times New Roman"/>
          <w:color w:val="2E2E2E"/>
          <w:sz w:val="22"/>
          <w:szCs w:val="22"/>
        </w:rPr>
        <w:t xml:space="preserve">TRADING VOLUME: approximately 7.3 trillion yen, relatively light.</w:t>
      </w:r>
    </w:p>
    <w:p>
      <w:pPr>
        <w:spacing w:after="120" w:before="0" w:line="300"/>
        <w:jc w:val="both"/>
      </w:pPr>
      <w:r>
        <w:rPr>
          <w:rFonts w:ascii="Times New Roman" w:cs="Times New Roman" w:eastAsia="Times New Roman" w:hAnsi="Times New Roman"/>
          <w:color w:val="2E2E2E"/>
          <w:sz w:val="22"/>
          <w:szCs w:val="22"/>
        </w:rPr>
        <w:t xml:space="preserve">NOTABLE DECLINERS: SoftBank Group down more than 10% at one point. Advantest down more than 4%. Tokyo Electron lower.</w:t>
      </w:r>
    </w:p>
    <w:p>
      <w:pPr>
        <w:spacing w:after="120" w:before="0" w:line="300"/>
        <w:jc w:val="both"/>
      </w:pPr>
      <w:r>
        <w:rPr>
          <w:rFonts w:ascii="Times New Roman" w:cs="Times New Roman" w:eastAsia="Times New Roman" w:hAnsi="Times New Roman"/>
          <w:color w:val="2E2E2E"/>
          <w:sz w:val="22"/>
          <w:szCs w:val="22"/>
        </w:rPr>
        <w:t xml:space="preserve">CURRENCY: dollar-yen in the low-to-mid 154 range, approximately 154.36 as of the evening of the 14th.</w:t>
      </w:r>
    </w:p>
    <w:p>
      <w:pPr>
        <w:spacing w:after="120" w:before="0" w:line="300"/>
        <w:jc w:val="both"/>
      </w:pPr>
      <w:r>
        <w:rPr>
          <w:rFonts w:ascii="Times New Roman" w:cs="Times New Roman" w:eastAsia="Times New Roman" w:hAnsi="Times New Roman"/>
          <w:color w:val="2E2E2E"/>
          <w:sz w:val="22"/>
          <w:szCs w:val="22"/>
        </w:rPr>
        <w:t xml:space="preserve">US 10-YEAR TREASURY: briefly above 5%.</w:t>
      </w:r>
    </w:p>
    <w:p>
      <w:pPr>
        <w:spacing w:after="120" w:before="0" w:line="300"/>
        <w:jc w:val="both"/>
      </w:pPr>
      <w:r>
        <w:rPr>
          <w:rFonts w:ascii="Times New Roman" w:cs="Times New Roman" w:eastAsia="Times New Roman" w:hAnsi="Times New Roman"/>
          <w:color w:val="2E2E2E"/>
          <w:sz w:val="22"/>
          <w:szCs w:val="22"/>
        </w:rPr>
        <w:t xml:space="preserve">CRUDE OIL: WTI above $100 per barrel, with some reports placing it briefly in the $104 range.</w:t>
      </w:r>
    </w:p>
    <w:p>
      <w:pPr>
        <w:spacing w:after="120" w:before="0" w:line="300"/>
        <w:jc w:val="both"/>
      </w:pPr>
      <w:r>
        <w:rPr>
          <w:rFonts w:ascii="Times New Roman" w:cs="Times New Roman" w:eastAsia="Times New Roman" w:hAnsi="Times New Roman"/>
          <w:color w:val="2E2E2E"/>
          <w:sz w:val="22"/>
          <w:szCs w:val="22"/>
        </w:rPr>
        <w:t xml:space="preserve">CENTRAL BANKS: FOMC meets Sept. 15-16. Bank of Japan meets Sept. 17-18, with a move to 1.25% almost fully priced.</w:t>
      </w:r>
    </w:p>
    <w:p>
      <w:pPr>
        <w:spacing w:after="120" w:before="0" w:line="300"/>
        <w:jc w:val="both"/>
      </w:pPr>
      <w:r>
        <w:rPr>
          <w:rFonts w:ascii="Times New Roman" w:cs="Times New Roman" w:eastAsia="Times New Roman" w:hAnsi="Times New Roman"/>
          <w:color w:val="2E2E2E"/>
          <w:sz w:val="22"/>
          <w:szCs w:val="22"/>
        </w:rPr>
        <w:t xml:space="preserve">DRIVERS CITED: OpenAI IPO postponement, the AI-slowdown call from Anthropic's chief executive and others, rising oil, and US rate-hike expectations.</w:t>
      </w:r>
    </w:p>
    <w:p>
      <w:pPr>
        <w:spacing w:after="120" w:before="0" w:line="300"/>
        <w:jc w:val="both"/>
      </w:pPr>
      <w:r>
        <w:rPr>
          <w:rFonts w:ascii="Times New Roman" w:cs="Times New Roman" w:eastAsia="Times New Roman" w:hAnsi="Times New Roman"/>
          <w:color w:val="2E2E2E"/>
          <w:sz w:val="22"/>
          <w:szCs w:val="22"/>
        </w:rPr>
        <w:t xml:space="preserve">SECTOR NOTE: Banks and insurers were bought as the rate outlook firmed, the standard rotation when higher yields improve lending margins while compressing long-duration growth valuations.</w:t>
      </w:r>
    </w:p>
    <w:p>
      <w:pPr>
        <w:spacing w:after="120" w:before="0" w:line="300"/>
        <w:jc w:val="both"/>
      </w:pPr>
      <w:r>
        <w:rPr>
          <w:rFonts w:ascii="Times New Roman" w:cs="Times New Roman" w:eastAsia="Times New Roman" w:hAnsi="Times New Roman"/>
          <w:color w:val="2E2E2E"/>
          <w:sz w:val="22"/>
          <w:szCs w:val="22"/>
        </w:rPr>
        <w:t xml:space="preserve">INDEX DIVERGENCE: The Nikkei is price-weighted and the TOPIX capitalisation-weighted across the prime market, which is why the two moved in opposite directions on the same session.</w:t>
      </w:r>
    </w:p>
    <w:p>
      <w:pPr>
        <w:spacing w:after="120" w:before="0" w:line="300"/>
        <w:jc w:val="both"/>
      </w:pPr>
      <w:r>
        <w:rPr>
          <w:rFonts w:ascii="Times New Roman" w:cs="Times New Roman" w:eastAsia="Times New Roman" w:hAnsi="Times New Roman"/>
          <w:color w:val="2E2E2E"/>
          <w:sz w:val="22"/>
          <w:szCs w:val="22"/>
        </w:rPr>
        <w:t xml:space="preserve">52-WEEK CONTEXT: The Nikkei's high of 72,831.73 was set on June 22, 2026. Monday's close leaves the index well below that mark but still substantially higher over twelve months.</w:t>
      </w:r>
    </w:p>
    <w:p>
      <w:pPr>
        <w:spacing w:after="200" w:before="40"/>
        <w:jc w:val="right"/>
      </w:pPr>
      <w:r>
        <w:rPr>
          <w:rFonts w:ascii="Helvetica" w:cs="Helvetica" w:eastAsia="Helvetica" w:hAnsi="Helvetica"/>
          <w:i/>
          <w:iCs/>
          <w:color w:val="888888"/>
          <w:sz w:val="16"/>
          <w:szCs w:val="16"/>
        </w:rPr>
        <w:t xml:space="preserve">[228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Health Insurance Evasion Scheme Drew 38 Companies and 11,610 People</w:t>
      </w:r>
    </w:p>
    <w:p>
      <w:pPr>
        <w:spacing w:after="40" w:before="40"/>
      </w:pPr>
      <w:r>
        <w:rPr>
          <w:rFonts w:ascii="Times New Roman" w:cs="Times New Roman" w:eastAsia="Times New Roman" w:hAnsi="Times New Roman"/>
          <w:i/>
          <w:iCs/>
          <w:color w:val="9B1B2A"/>
          <w:sz w:val="22"/>
          <w:szCs w:val="22"/>
        </w:rPr>
        <w:t xml:space="preserve">A ministry survey found sole proprietors reclassified as "corporate officers" to move them off national health insurance</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A Ministry of Health, Labour and Welfare survey found that 38 companies and 11,610 people had used a service designed to avoid national health insurance obligations, with individual business owners treated as "corporate officers" to accomplish the reclassification, according to Yomiuri Shimbun and Sankei Shimbun.</w:t>
      </w:r>
    </w:p>
    <w:p>
      <w:pPr>
        <w:spacing w:after="120" w:before="0" w:line="300"/>
        <w:jc w:val="both"/>
      </w:pPr>
      <w:r>
        <w:rPr>
          <w:rFonts w:ascii="Times New Roman" w:cs="Times New Roman" w:eastAsia="Times New Roman" w:hAnsi="Times New Roman"/>
          <w:color w:val="2E2E2E"/>
          <w:sz w:val="22"/>
          <w:szCs w:val="22"/>
        </w:rPr>
        <w:t xml:space="preserve">The mechanism turns on a distinction in Japan's dual health insurance structure. Employees at companies are enrolled in employees' health insurance, while the self-employed and others fall under national health insurance, and the premiums attached to each differ in ways that create an incentive to be classified as the former.</w:t>
      </w:r>
    </w:p>
    <w:p>
      <w:pPr>
        <w:spacing w:after="120" w:before="0" w:line="300"/>
        <w:jc w:val="both"/>
      </w:pPr>
      <w:r>
        <w:rPr>
          <w:rFonts w:ascii="Times New Roman" w:cs="Times New Roman" w:eastAsia="Times New Roman" w:hAnsi="Times New Roman"/>
          <w:color w:val="2E2E2E"/>
          <w:sz w:val="22"/>
          <w:szCs w:val="22"/>
        </w:rPr>
        <w:t xml:space="preserve">Recasting a sole proprietor as an officer of a company is the pivot that makes the scheme work on paper, converting someone whose actual working arrangement has not changed into a category carrying different premium obligations.</w:t>
      </w:r>
    </w:p>
    <w:p>
      <w:pPr>
        <w:spacing w:after="120" w:before="0" w:line="300"/>
        <w:jc w:val="both"/>
      </w:pPr>
      <w:r>
        <w:rPr>
          <w:rFonts w:ascii="Times New Roman" w:cs="Times New Roman" w:eastAsia="Times New Roman" w:hAnsi="Times New Roman"/>
          <w:color w:val="2E2E2E"/>
          <w:sz w:val="22"/>
          <w:szCs w:val="22"/>
        </w:rPr>
        <w:t xml:space="preserve">A participant count of 11,610 across 38 companies indicates something organised and marketed rather than improvised, which is what distinguishes this from the ordinary grey area of tax and insurance planning.</w:t>
      </w:r>
    </w:p>
    <w:p>
      <w:pPr>
        <w:spacing w:after="120" w:before="0" w:line="300"/>
        <w:jc w:val="both"/>
      </w:pPr>
      <w:r>
        <w:rPr>
          <w:rFonts w:ascii="Times New Roman" w:cs="Times New Roman" w:eastAsia="Times New Roman" w:hAnsi="Times New Roman"/>
          <w:color w:val="2E2E2E"/>
          <w:sz w:val="22"/>
          <w:szCs w:val="22"/>
        </w:rPr>
        <w:t xml:space="preserve">The revenue consequence falls on the national health insurance pool, which depends on contributions from precisely the self-employed population the scheme moved out of it, weakening a system already under strain from Japan's demographics.</w:t>
      </w:r>
    </w:p>
    <w:p>
      <w:pPr>
        <w:spacing w:after="120" w:before="0" w:line="300"/>
        <w:jc w:val="both"/>
      </w:pPr>
      <w:r>
        <w:rPr>
          <w:rFonts w:ascii="Times New Roman" w:cs="Times New Roman" w:eastAsia="Times New Roman" w:hAnsi="Times New Roman"/>
          <w:color w:val="2E2E2E"/>
          <w:sz w:val="22"/>
          <w:szCs w:val="22"/>
        </w:rPr>
        <w:t xml:space="preserve">The ministry's next step will determine whether participants face retroactive liability, and whether the companies marketing the arrangement face consequences distinct from those facing the individuals who bought in.</w:t>
      </w:r>
    </w:p>
    <w:p>
      <w:pPr>
        <w:spacing w:after="120" w:before="0" w:line="300"/>
        <w:jc w:val="both"/>
      </w:pPr>
      <w:r>
        <w:rPr>
          <w:rFonts w:ascii="Times New Roman" w:cs="Times New Roman" w:eastAsia="Times New Roman" w:hAnsi="Times New Roman"/>
          <w:color w:val="2E2E2E"/>
          <w:sz w:val="22"/>
          <w:szCs w:val="22"/>
        </w:rPr>
        <w:t xml:space="preserve">Cases of this kind tend to prompt clarifying guidance rather than new legislation, since the underlying rules generally already prohibit the arrangement and the difficulty is detection rather than legality.</w:t>
      </w:r>
    </w:p>
    <w:p>
      <w:pPr>
        <w:spacing w:after="120" w:before="0" w:line="300"/>
        <w:jc w:val="both"/>
      </w:pPr>
      <w:r>
        <w:rPr>
          <w:rFonts w:ascii="Times New Roman" w:cs="Times New Roman" w:eastAsia="Times New Roman" w:hAnsi="Times New Roman"/>
          <w:color w:val="2E2E2E"/>
          <w:sz w:val="22"/>
          <w:szCs w:val="22"/>
        </w:rPr>
        <w:t xml:space="preserve">Japan's health insurance system achieved universal coverage in 1961 and has been sustained since by the combination of employer-linked schemes and the municipal national health insurance that catches everyone else.</w:t>
      </w:r>
    </w:p>
    <w:p>
      <w:pPr>
        <w:spacing w:after="120" w:before="0" w:line="300"/>
        <w:jc w:val="both"/>
      </w:pPr>
      <w:r>
        <w:rPr>
          <w:rFonts w:ascii="Times New Roman" w:cs="Times New Roman" w:eastAsia="Times New Roman" w:hAnsi="Times New Roman"/>
          <w:color w:val="2E2E2E"/>
          <w:sz w:val="22"/>
          <w:szCs w:val="22"/>
        </w:rPr>
        <w:t xml:space="preserve">That residual role is what makes national health insurance structurally vulnerable. It enrols those without corporate employment, a population that skews older, lower-income and less predictable in earnings than the employees' schemes.</w:t>
      </w:r>
    </w:p>
    <w:p>
      <w:pPr>
        <w:spacing w:after="120" w:before="0" w:line="300"/>
        <w:jc w:val="both"/>
      </w:pPr>
      <w:r>
        <w:rPr>
          <w:rFonts w:ascii="Times New Roman" w:cs="Times New Roman" w:eastAsia="Times New Roman" w:hAnsi="Times New Roman"/>
          <w:color w:val="2E2E2E"/>
          <w:sz w:val="22"/>
          <w:szCs w:val="22"/>
        </w:rPr>
        <w:t xml:space="preserve">Premiums under national health insurance are calculated on income and household composition and are frequently perceived as high relative to employees' insurance, where the employer contributes a share.</w:t>
      </w:r>
    </w:p>
    <w:p>
      <w:pPr>
        <w:spacing w:after="120" w:before="0" w:line="300"/>
        <w:jc w:val="both"/>
      </w:pPr>
      <w:r>
        <w:rPr>
          <w:rFonts w:ascii="Times New Roman" w:cs="Times New Roman" w:eastAsia="Times New Roman" w:hAnsi="Times New Roman"/>
          <w:color w:val="2E2E2E"/>
          <w:sz w:val="22"/>
          <w:szCs w:val="22"/>
        </w:rPr>
        <w:t xml:space="preserve">That perceived gap is the incentive the scheme monetised, and it will persist whatever enforcement action follows, which is why analysts have argued the underlying rate structure deserves attention alongside the evasion itself.</w:t>
      </w:r>
    </w:p>
    <w:p>
      <w:pPr>
        <w:spacing w:after="120" w:before="0" w:line="300"/>
        <w:jc w:val="both"/>
      </w:pPr>
      <w:r>
        <w:rPr>
          <w:rFonts w:ascii="Times New Roman" w:cs="Times New Roman" w:eastAsia="Times New Roman" w:hAnsi="Times New Roman"/>
          <w:color w:val="2E2E2E"/>
          <w:sz w:val="22"/>
          <w:szCs w:val="22"/>
        </w:rPr>
        <w:t xml:space="preserve">Municipalities administering national health insurance have relied increasingly on general revenue transfers to close recurring shortfalls, a practice that shifts the cost to local taxpayers rather than resolving the imbalance.</w:t>
      </w:r>
    </w:p>
    <w:p>
      <w:pPr>
        <w:spacing w:after="200" w:before="40"/>
        <w:jc w:val="right"/>
      </w:pPr>
      <w:r>
        <w:rPr>
          <w:rFonts w:ascii="Helvetica" w:cs="Helvetica" w:eastAsia="Helvetica" w:hAnsi="Helvetica"/>
          <w:i/>
          <w:iCs/>
          <w:color w:val="888888"/>
          <w:sz w:val="16"/>
          <w:szCs w:val="16"/>
        </w:rPr>
        <w:t xml:space="preserve">[408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Bank of Japan Meets Wednesday With a Quarter-Point Move Priced In</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The Bank of Japan's policy board meets on the 17th and 18th, with markets having almost fully priced an increase in the policy rate to 1.25%, according to Bloomberg's Japanese service.</w:t>
      </w:r>
    </w:p>
    <w:p>
      <w:pPr>
        <w:spacing w:after="120" w:before="0" w:line="300"/>
        <w:jc w:val="both"/>
      </w:pPr>
      <w:r>
        <w:rPr>
          <w:rFonts w:ascii="Times New Roman" w:cs="Times New Roman" w:eastAsia="Times New Roman" w:hAnsi="Times New Roman"/>
          <w:color w:val="2E2E2E"/>
          <w:sz w:val="22"/>
          <w:szCs w:val="22"/>
        </w:rPr>
        <w:t xml:space="preserve">A fully priced decision changes what matters at the announcement. If the move itself surprises no one, attention shifts entirely to the accompanying statement and to any signal about the pace of what follows.</w:t>
      </w:r>
    </w:p>
    <w:p>
      <w:pPr>
        <w:spacing w:after="120" w:before="0" w:line="300"/>
        <w:jc w:val="both"/>
      </w:pPr>
      <w:r>
        <w:rPr>
          <w:rFonts w:ascii="Times New Roman" w:cs="Times New Roman" w:eastAsia="Times New Roman" w:hAnsi="Times New Roman"/>
          <w:color w:val="2E2E2E"/>
          <w:sz w:val="22"/>
          <w:szCs w:val="22"/>
        </w:rPr>
        <w:t xml:space="preserve">The inflation picture the board is assessing has an unusually large imported component. Crude above $100 a barrel and a yen in the mid-154 range together raise the cost of nearly everything Japan buys from abroad, which is a different inflation problem from one generated by domestic demand.</w:t>
      </w:r>
    </w:p>
    <w:p>
      <w:pPr>
        <w:spacing w:after="120" w:before="0" w:line="300"/>
        <w:jc w:val="both"/>
      </w:pPr>
      <w:r>
        <w:rPr>
          <w:rFonts w:ascii="Times New Roman" w:cs="Times New Roman" w:eastAsia="Times New Roman" w:hAnsi="Times New Roman"/>
          <w:color w:val="2E2E2E"/>
          <w:sz w:val="22"/>
          <w:szCs w:val="22"/>
        </w:rPr>
        <w:t xml:space="preserve">Raising rates addresses the currency channel directly, since a higher policy rate narrows the interest-rate differential that has weighed on the yen, but it does nothing about the price of crude.</w:t>
      </w:r>
    </w:p>
    <w:p>
      <w:pPr>
        <w:spacing w:after="120" w:before="0" w:line="300"/>
        <w:jc w:val="both"/>
      </w:pPr>
      <w:r>
        <w:rPr>
          <w:rFonts w:ascii="Times New Roman" w:cs="Times New Roman" w:eastAsia="Times New Roman" w:hAnsi="Times New Roman"/>
          <w:color w:val="2E2E2E"/>
          <w:sz w:val="22"/>
          <w:szCs w:val="22"/>
        </w:rPr>
        <w:t xml:space="preserve">The Federal Reserve's own meeting on the 15th and 16th precedes the Japanese decision by a day, meaning the board will know the American outcome before finalising its own communication.</w:t>
      </w:r>
    </w:p>
    <w:p>
      <w:pPr>
        <w:spacing w:after="120" w:before="0" w:line="300"/>
        <w:jc w:val="both"/>
      </w:pPr>
      <w:r>
        <w:rPr>
          <w:rFonts w:ascii="Times New Roman" w:cs="Times New Roman" w:eastAsia="Times New Roman" w:hAnsi="Times New Roman"/>
          <w:color w:val="2E2E2E"/>
          <w:sz w:val="22"/>
          <w:szCs w:val="22"/>
        </w:rPr>
        <w:t xml:space="preserve">Japanese households with variable-rate mortgages face the most direct consumer consequence, a constituency whose size makes rate normalisation politically sensitive in a way it has not been for decades.</w:t>
      </w:r>
    </w:p>
    <w:p>
      <w:pPr>
        <w:spacing w:after="120" w:before="0" w:line="300"/>
        <w:jc w:val="both"/>
      </w:pPr>
      <w:r>
        <w:rPr>
          <w:rFonts w:ascii="Times New Roman" w:cs="Times New Roman" w:eastAsia="Times New Roman" w:hAnsi="Times New Roman"/>
          <w:color w:val="2E2E2E"/>
          <w:sz w:val="22"/>
          <w:szCs w:val="22"/>
        </w:rPr>
        <w:t xml:space="preserve">Regional banks, whose margins have been compressed by years of near-zero rates, sit on the other side of that ledger and have generally welcomed the direction of travel.</w:t>
      </w:r>
    </w:p>
    <w:p>
      <w:pPr>
        <w:spacing w:after="120" w:before="0" w:line="300"/>
        <w:jc w:val="both"/>
      </w:pPr>
      <w:r>
        <w:rPr>
          <w:rFonts w:ascii="Times New Roman" w:cs="Times New Roman" w:eastAsia="Times New Roman" w:hAnsi="Times New Roman"/>
          <w:color w:val="2E2E2E"/>
          <w:sz w:val="22"/>
          <w:szCs w:val="22"/>
        </w:rPr>
        <w:t xml:space="preserve">The Bank of Japan spent years at or below zero, and the normalisation now under way represents the most significant shift in Japanese monetary policy in a generation, conducted cautiously enough that each step has been extensively signalled in advance.</w:t>
      </w:r>
    </w:p>
    <w:p>
      <w:pPr>
        <w:spacing w:after="120" w:before="0" w:line="300"/>
        <w:jc w:val="both"/>
      </w:pPr>
      <w:r>
        <w:rPr>
          <w:rFonts w:ascii="Times New Roman" w:cs="Times New Roman" w:eastAsia="Times New Roman" w:hAnsi="Times New Roman"/>
          <w:color w:val="2E2E2E"/>
          <w:sz w:val="22"/>
          <w:szCs w:val="22"/>
        </w:rPr>
        <w:t xml:space="preserve">That caution reflects an institutional memory of tightening into weakness, an error the bank has been accused of in earlier cycles and one its current leadership has been visibly determined to avoid repeating.</w:t>
      </w:r>
    </w:p>
    <w:p>
      <w:pPr>
        <w:spacing w:after="120" w:before="0" w:line="300"/>
        <w:jc w:val="both"/>
      </w:pPr>
      <w:r>
        <w:rPr>
          <w:rFonts w:ascii="Times New Roman" w:cs="Times New Roman" w:eastAsia="Times New Roman" w:hAnsi="Times New Roman"/>
          <w:color w:val="2E2E2E"/>
          <w:sz w:val="22"/>
          <w:szCs w:val="22"/>
        </w:rPr>
        <w:t xml:space="preserve">Wage growth has been the condition the bank has repeatedly named as necessary for sustainable inflation, on the reasoning that price increases driven by import costs alone do not constitute the demand-led inflation a normalised policy rate is appropriate for.</w:t>
      </w:r>
    </w:p>
    <w:p>
      <w:pPr>
        <w:spacing w:after="120" w:before="0" w:line="300"/>
        <w:jc w:val="both"/>
      </w:pPr>
      <w:r>
        <w:rPr>
          <w:rFonts w:ascii="Times New Roman" w:cs="Times New Roman" w:eastAsia="Times New Roman" w:hAnsi="Times New Roman"/>
          <w:color w:val="2E2E2E"/>
          <w:sz w:val="22"/>
          <w:szCs w:val="22"/>
        </w:rPr>
        <w:t xml:space="preserve">A rate at 1.25% would still sit well below the levels prevailing at most other major central banks, which means the interest-rate differential that has weighed on the yen would narrow rather than close.</w:t>
      </w:r>
    </w:p>
    <w:p>
      <w:pPr>
        <w:spacing w:after="120" w:before="0" w:line="300"/>
        <w:jc w:val="both"/>
      </w:pPr>
      <w:r>
        <w:rPr>
          <w:rFonts w:ascii="Times New Roman" w:cs="Times New Roman" w:eastAsia="Times New Roman" w:hAnsi="Times New Roman"/>
          <w:color w:val="2E2E2E"/>
          <w:sz w:val="22"/>
          <w:szCs w:val="22"/>
        </w:rPr>
        <w:t xml:space="preserve">Households with fixed-rate mortgages are insulated in the near term, while the variable-rate cohort faces adjustment at their next reset, a distribution that spreads the policy's household impact unevenly across the coming year.</w:t>
      </w:r>
    </w:p>
    <w:p>
      <w:pPr>
        <w:spacing w:after="120" w:before="0" w:line="300"/>
        <w:jc w:val="both"/>
      </w:pPr>
      <w:r>
        <w:rPr>
          <w:rFonts w:ascii="Times New Roman" w:cs="Times New Roman" w:eastAsia="Times New Roman" w:hAnsi="Times New Roman"/>
          <w:color w:val="2E2E2E"/>
          <w:sz w:val="22"/>
          <w:szCs w:val="22"/>
        </w:rPr>
        <w:t xml:space="preserve">The board's decision will be accompanied by an outlook report setting out its projections for growth and prices, material that markets scrutinise for signals about the path beyond this meeting.</w:t>
      </w:r>
    </w:p>
    <w:p>
      <w:pPr>
        <w:spacing w:after="120" w:before="0" w:line="300"/>
        <w:jc w:val="both"/>
      </w:pPr>
      <w:r>
        <w:rPr>
          <w:rFonts w:ascii="Times New Roman" w:cs="Times New Roman" w:eastAsia="Times New Roman" w:hAnsi="Times New Roman"/>
          <w:color w:val="2E2E2E"/>
          <w:sz w:val="22"/>
          <w:szCs w:val="22"/>
        </w:rPr>
        <w:t xml:space="preserve">Governor Ueda has been consistent in framing normalisation as conditional rather than programmatic, declining to commit to a sequence of increases and repeatedly emphasising that each decision rests on the data available at the time.</w:t>
      </w:r>
    </w:p>
    <w:p>
      <w:pPr>
        <w:spacing w:after="120" w:before="0" w:line="300"/>
        <w:jc w:val="both"/>
      </w:pPr>
      <w:r>
        <w:rPr>
          <w:rFonts w:ascii="Times New Roman" w:cs="Times New Roman" w:eastAsia="Times New Roman" w:hAnsi="Times New Roman"/>
          <w:color w:val="2E2E2E"/>
          <w:sz w:val="22"/>
          <w:szCs w:val="22"/>
        </w:rPr>
        <w:t xml:space="preserve">A quarter-point move would be the latest step in a sequence that began with the end of negative rates, a progression conducted slowly enough that no single decision has produced serious market disruption.</w:t>
      </w:r>
    </w:p>
    <w:p>
      <w:pPr>
        <w:spacing w:after="200" w:before="40"/>
        <w:jc w:val="right"/>
      </w:pPr>
      <w:r>
        <w:rPr>
          <w:rFonts w:ascii="Helvetica" w:cs="Helvetica" w:eastAsia="Helvetica" w:hAnsi="Helvetica"/>
          <w:i/>
          <w:iCs/>
          <w:color w:val="888888"/>
          <w:sz w:val="16"/>
          <w:szCs w:val="16"/>
        </w:rPr>
        <w:t xml:space="preserve">[509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Households Face the Energy Bill Behind the Nuclear Delay</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The receding prospect of nuclear restarts following Chubu Electric Power's withdrawal of its Hamaoka application is expected to delay electricity price reductions, according to Yomiuri Shimbun and Asahi Shimbun, translating a corporate governance failure into a household cost.</w:t>
      </w:r>
    </w:p>
    <w:p>
      <w:pPr>
        <w:spacing w:after="120" w:before="0" w:line="300"/>
        <w:jc w:val="both"/>
      </w:pPr>
      <w:r>
        <w:rPr>
          <w:rFonts w:ascii="Times New Roman" w:cs="Times New Roman" w:eastAsia="Times New Roman" w:hAnsi="Times New Roman"/>
          <w:color w:val="2E2E2E"/>
          <w:sz w:val="22"/>
          <w:szCs w:val="22"/>
        </w:rPr>
        <w:t xml:space="preserve">The connection runs through fuel. Idle nuclear capacity is replaced principally by imported liquefied natural gas and other fossil fuels, purchased at prices currently shaped by a Gulf conflict and a pipeline outage expected to last weeks.</w:t>
      </w:r>
    </w:p>
    <w:p>
      <w:pPr>
        <w:spacing w:after="120" w:before="0" w:line="300"/>
        <w:jc w:val="both"/>
      </w:pPr>
      <w:r>
        <w:rPr>
          <w:rFonts w:ascii="Times New Roman" w:cs="Times New Roman" w:eastAsia="Times New Roman" w:hAnsi="Times New Roman"/>
          <w:color w:val="2E2E2E"/>
          <w:sz w:val="22"/>
          <w:szCs w:val="22"/>
        </w:rPr>
        <w:t xml:space="preserve">Japanese utilities pass fuel costs through to consumers under adjustment mechanisms, with a lag, which means the price of crude in September reaches household bills some months later.</w:t>
      </w:r>
    </w:p>
    <w:p>
      <w:pPr>
        <w:spacing w:after="120" w:before="0" w:line="300"/>
        <w:jc w:val="both"/>
      </w:pPr>
      <w:r>
        <w:rPr>
          <w:rFonts w:ascii="Times New Roman" w:cs="Times New Roman" w:eastAsia="Times New Roman" w:hAnsi="Times New Roman"/>
          <w:color w:val="2E2E2E"/>
          <w:sz w:val="22"/>
          <w:szCs w:val="22"/>
        </w:rPr>
        <w:t xml:space="preserve">Government subsidies have periodically cushioned those increases, an approach that limits the immediate household impact while transferring the cost to the general budget rather than eliminating it.</w:t>
      </w:r>
    </w:p>
    <w:p>
      <w:pPr>
        <w:spacing w:after="120" w:before="0" w:line="300"/>
        <w:jc w:val="both"/>
      </w:pPr>
      <w:r>
        <w:rPr>
          <w:rFonts w:ascii="Times New Roman" w:cs="Times New Roman" w:eastAsia="Times New Roman" w:hAnsi="Times New Roman"/>
          <w:color w:val="2E2E2E"/>
          <w:sz w:val="22"/>
          <w:szCs w:val="22"/>
        </w:rPr>
        <w:t xml:space="preserve">Cost-of-living pressure has been the dominant theme in Japanese politics for three years, most recently visible in Okinawa's gubernatorial result, which gives electricity pricing a political salience beyond its arithmetic.</w:t>
      </w:r>
    </w:p>
    <w:p>
      <w:pPr>
        <w:spacing w:after="120" w:before="0" w:line="300"/>
        <w:jc w:val="both"/>
      </w:pPr>
      <w:r>
        <w:rPr>
          <w:rFonts w:ascii="Times New Roman" w:cs="Times New Roman" w:eastAsia="Times New Roman" w:hAnsi="Times New Roman"/>
          <w:color w:val="2E2E2E"/>
          <w:sz w:val="22"/>
          <w:szCs w:val="22"/>
        </w:rPr>
        <w:t xml:space="preserve">The consumption tax cut on food approved Tuesday addresses a different line in the household budget, and does not take effect until April 2027.</w:t>
      </w:r>
    </w:p>
    <w:p>
      <w:pPr>
        <w:spacing w:after="120" w:before="0" w:line="300"/>
        <w:jc w:val="both"/>
      </w:pPr>
      <w:r>
        <w:rPr>
          <w:rFonts w:ascii="Times New Roman" w:cs="Times New Roman" w:eastAsia="Times New Roman" w:hAnsi="Times New Roman"/>
          <w:color w:val="2E2E2E"/>
          <w:sz w:val="22"/>
          <w:szCs w:val="22"/>
        </w:rPr>
        <w:t xml:space="preserve">Japan's electricity tariffs incorporate a fuel cost adjustment mechanism that passes changes in imported fuel prices through to consumers with a lag of several months, which means current crude prices reach household bills toward the end of the year.</w:t>
      </w:r>
    </w:p>
    <w:p>
      <w:pPr>
        <w:spacing w:after="120" w:before="0" w:line="300"/>
        <w:jc w:val="both"/>
      </w:pPr>
      <w:r>
        <w:rPr>
          <w:rFonts w:ascii="Times New Roman" w:cs="Times New Roman" w:eastAsia="Times New Roman" w:hAnsi="Times New Roman"/>
          <w:color w:val="2E2E2E"/>
          <w:sz w:val="22"/>
          <w:szCs w:val="22"/>
        </w:rPr>
        <w:t xml:space="preserve">Liquefied natural gas rather than crude oil is the principal fuel for Japanese thermal generation, and LNG contract pricing has historically been linked to oil prices, which transmits the crude move into electricity costs indirectly.</w:t>
      </w:r>
    </w:p>
    <w:p>
      <w:pPr>
        <w:spacing w:after="120" w:before="0" w:line="300"/>
        <w:jc w:val="both"/>
      </w:pPr>
      <w:r>
        <w:rPr>
          <w:rFonts w:ascii="Times New Roman" w:cs="Times New Roman" w:eastAsia="Times New Roman" w:hAnsi="Times New Roman"/>
          <w:color w:val="2E2E2E"/>
          <w:sz w:val="22"/>
          <w:szCs w:val="22"/>
        </w:rPr>
        <w:t xml:space="preserve">The share of generation supplied by nuclear power before 2011 was roughly a quarter of the national total, and the gap left by the fleet's shutdown has been filled predominantly by imported fossil fuels ever since.</w:t>
      </w:r>
    </w:p>
    <w:p>
      <w:pPr>
        <w:spacing w:after="120" w:before="0" w:line="300"/>
        <w:jc w:val="both"/>
      </w:pPr>
      <w:r>
        <w:rPr>
          <w:rFonts w:ascii="Times New Roman" w:cs="Times New Roman" w:eastAsia="Times New Roman" w:hAnsi="Times New Roman"/>
          <w:color w:val="2E2E2E"/>
          <w:sz w:val="22"/>
          <w:szCs w:val="22"/>
        </w:rPr>
        <w:t xml:space="preserve">Government relief measures for energy bills have been introduced and withdrawn repeatedly over recent years, an approach that has limited household pain while leaving the underlying import dependence unaddressed.</w:t>
      </w:r>
    </w:p>
    <w:p>
      <w:pPr>
        <w:spacing w:after="120" w:before="0" w:line="300"/>
        <w:jc w:val="both"/>
      </w:pPr>
      <w:r>
        <w:rPr>
          <w:rFonts w:ascii="Times New Roman" w:cs="Times New Roman" w:eastAsia="Times New Roman" w:hAnsi="Times New Roman"/>
          <w:color w:val="2E2E2E"/>
          <w:sz w:val="22"/>
          <w:szCs w:val="22"/>
        </w:rPr>
        <w:t xml:space="preserve">Energy-intensive manufacturers face the same input cost without the political protection households receive, which is why industry associations have been among the most persistent advocates for restarting the nuclear fleet.</w:t>
      </w:r>
    </w:p>
    <w:p>
      <w:pPr>
        <w:spacing w:after="200" w:before="40"/>
        <w:jc w:val="right"/>
      </w:pPr>
      <w:r>
        <w:rPr>
          <w:rFonts w:ascii="Helvetica" w:cs="Helvetica" w:eastAsia="Helvetica" w:hAnsi="Helvetica"/>
          <w:i/>
          <w:iCs/>
          <w:color w:val="888888"/>
          <w:sz w:val="16"/>
          <w:szCs w:val="16"/>
        </w:rPr>
        <w:t xml:space="preserve">[353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FOMC Convenes With Oil-Driven Inflation Complicating the Picture</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The Federal Open Market Committee meets Tuesday and Wednesday with US long-term yields having briefly exceeded 5% and crude holding above $100 a barrel, a combination that has pushed market expectations toward a rate increase rather than the cuts anticipated earlier in the year.</w:t>
      </w:r>
    </w:p>
    <w:p>
      <w:pPr>
        <w:spacing w:after="120" w:before="0" w:line="300"/>
        <w:jc w:val="both"/>
      </w:pPr>
      <w:r>
        <w:rPr>
          <w:rFonts w:ascii="Times New Roman" w:cs="Times New Roman" w:eastAsia="Times New Roman" w:hAnsi="Times New Roman"/>
          <w:color w:val="2E2E2E"/>
          <w:sz w:val="22"/>
          <w:szCs w:val="22"/>
        </w:rPr>
        <w:t xml:space="preserve">Energy-driven inflation presents a particular difficulty for a central bank, since the price of crude responds to supply conditions and geopolitics rather than to domestic monetary policy.</w:t>
      </w:r>
    </w:p>
    <w:p>
      <w:pPr>
        <w:spacing w:after="120" w:before="0" w:line="300"/>
        <w:jc w:val="both"/>
      </w:pPr>
      <w:r>
        <w:rPr>
          <w:rFonts w:ascii="Times New Roman" w:cs="Times New Roman" w:eastAsia="Times New Roman" w:hAnsi="Times New Roman"/>
          <w:color w:val="2E2E2E"/>
          <w:sz w:val="22"/>
          <w:szCs w:val="22"/>
        </w:rPr>
        <w:t xml:space="preserve">Raising rates in response to imported energy costs therefore risks tightening into a supply shock, an error central banks have made before and study carefully to avoid repeating.</w:t>
      </w:r>
    </w:p>
    <w:p>
      <w:pPr>
        <w:spacing w:after="120" w:before="0" w:line="300"/>
        <w:jc w:val="both"/>
      </w:pPr>
      <w:r>
        <w:rPr>
          <w:rFonts w:ascii="Times New Roman" w:cs="Times New Roman" w:eastAsia="Times New Roman" w:hAnsi="Times New Roman"/>
          <w:color w:val="2E2E2E"/>
          <w:sz w:val="22"/>
          <w:szCs w:val="22"/>
        </w:rPr>
        <w:t xml:space="preserve">The alternative carries its own risk. Allowing energy costs to feed into broader inflation expectations is how a temporary price shock becomes an entrenched inflation problem.</w:t>
      </w:r>
    </w:p>
    <w:p>
      <w:pPr>
        <w:spacing w:after="120" w:before="0" w:line="300"/>
        <w:jc w:val="both"/>
      </w:pPr>
      <w:r>
        <w:rPr>
          <w:rFonts w:ascii="Times New Roman" w:cs="Times New Roman" w:eastAsia="Times New Roman" w:hAnsi="Times New Roman"/>
          <w:color w:val="2E2E2E"/>
          <w:sz w:val="22"/>
          <w:szCs w:val="22"/>
        </w:rPr>
        <w:t xml:space="preserve">For Japanese markets the American decision matters twice: directly through the interest-rate differential that drives the yen, and indirectly through the global discount rate applied to growth equities.</w:t>
      </w:r>
    </w:p>
    <w:p>
      <w:pPr>
        <w:spacing w:after="120" w:before="0" w:line="300"/>
        <w:jc w:val="both"/>
      </w:pPr>
      <w:r>
        <w:rPr>
          <w:rFonts w:ascii="Times New Roman" w:cs="Times New Roman" w:eastAsia="Times New Roman" w:hAnsi="Times New Roman"/>
          <w:color w:val="2E2E2E"/>
          <w:sz w:val="22"/>
          <w:szCs w:val="22"/>
        </w:rPr>
        <w:t xml:space="preserve">The Bank of Japan's own meeting follows immediately, meaning the Japanese board will have the American outcome in hand before completing its deliberations.</w:t>
      </w:r>
    </w:p>
    <w:p>
      <w:pPr>
        <w:spacing w:after="120" w:before="0" w:line="300"/>
        <w:jc w:val="both"/>
      </w:pPr>
      <w:r>
        <w:rPr>
          <w:rFonts w:ascii="Times New Roman" w:cs="Times New Roman" w:eastAsia="Times New Roman" w:hAnsi="Times New Roman"/>
          <w:color w:val="2E2E2E"/>
          <w:sz w:val="22"/>
          <w:szCs w:val="22"/>
        </w:rPr>
        <w:t xml:space="preserve">The Federal Reserve entered this year with markets expecting a cutting cycle, and the reversal toward possible tightening has been driven substantially by energy costs feeding into inflation readings that had been improving.</w:t>
      </w:r>
    </w:p>
    <w:p>
      <w:pPr>
        <w:spacing w:after="120" w:before="0" w:line="300"/>
        <w:jc w:val="both"/>
      </w:pPr>
      <w:r>
        <w:rPr>
          <w:rFonts w:ascii="Times New Roman" w:cs="Times New Roman" w:eastAsia="Times New Roman" w:hAnsi="Times New Roman"/>
          <w:color w:val="2E2E2E"/>
          <w:sz w:val="22"/>
          <w:szCs w:val="22"/>
        </w:rPr>
        <w:t xml:space="preserve">Central bankers distinguish between headline inflation, which includes food and energy, and core measures that exclude them, precisely because the volatile components tend to reverse and can mislead policy if over-weighted.</w:t>
      </w:r>
    </w:p>
    <w:p>
      <w:pPr>
        <w:spacing w:after="120" w:before="0" w:line="300"/>
        <w:jc w:val="both"/>
      </w:pPr>
      <w:r>
        <w:rPr>
          <w:rFonts w:ascii="Times New Roman" w:cs="Times New Roman" w:eastAsia="Times New Roman" w:hAnsi="Times New Roman"/>
          <w:color w:val="2E2E2E"/>
          <w:sz w:val="22"/>
          <w:szCs w:val="22"/>
        </w:rPr>
        <w:t xml:space="preserve">The complication in the current episode is duration. A supply disruption expected to persist for weeks or months begins to influence expectations and wage bargaining in ways a brief spike does not.</w:t>
      </w:r>
    </w:p>
    <w:p>
      <w:pPr>
        <w:spacing w:after="120" w:before="0" w:line="300"/>
        <w:jc w:val="both"/>
      </w:pPr>
      <w:r>
        <w:rPr>
          <w:rFonts w:ascii="Times New Roman" w:cs="Times New Roman" w:eastAsia="Times New Roman" w:hAnsi="Times New Roman"/>
          <w:color w:val="2E2E2E"/>
          <w:sz w:val="22"/>
          <w:szCs w:val="22"/>
        </w:rPr>
        <w:t xml:space="preserve">The committee's decision will be accompanied by projections that indicate members' expectations for the policy path, material markets typically weigh more heavily than the decision itself when the decision is already priced.</w:t>
      </w:r>
    </w:p>
    <w:p>
      <w:pPr>
        <w:spacing w:after="120" w:before="0" w:line="300"/>
        <w:jc w:val="both"/>
      </w:pPr>
      <w:r>
        <w:rPr>
          <w:rFonts w:ascii="Times New Roman" w:cs="Times New Roman" w:eastAsia="Times New Roman" w:hAnsi="Times New Roman"/>
          <w:color w:val="2E2E2E"/>
          <w:sz w:val="22"/>
          <w:szCs w:val="22"/>
        </w:rPr>
        <w:t xml:space="preserve">For Japan, the American outcome bears directly on the yen through the interest-rate differential, which is why the Bank of Japan's board will have the FOMC result before finalising its own communication two days later.</w:t>
      </w:r>
    </w:p>
    <w:p>
      <w:pPr>
        <w:spacing w:after="200" w:before="40"/>
        <w:jc w:val="right"/>
      </w:pPr>
      <w:r>
        <w:rPr>
          <w:rFonts w:ascii="Helvetica" w:cs="Helvetica" w:eastAsia="Helvetica" w:hAnsi="Helvetica"/>
          <w:i/>
          <w:iCs/>
          <w:color w:val="888888"/>
          <w:sz w:val="16"/>
          <w:szCs w:val="16"/>
        </w:rPr>
        <w:t xml:space="preserve">[339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Land Price Data Expected to Show a Widening Regional Split</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Tuesday's release of standard land prices by the Ministry of Land, Infrastructure, Transport and Tourism is expected to document a continued divergence between regions attracting investment and those facing depopulation.</w:t>
      </w:r>
    </w:p>
    <w:p>
      <w:pPr>
        <w:spacing w:after="120" w:before="0" w:line="300"/>
        <w:jc w:val="both"/>
      </w:pPr>
      <w:r>
        <w:rPr>
          <w:rFonts w:ascii="Times New Roman" w:cs="Times New Roman" w:eastAsia="Times New Roman" w:hAnsi="Times New Roman"/>
          <w:color w:val="2E2E2E"/>
          <w:sz w:val="22"/>
          <w:szCs w:val="22"/>
        </w:rPr>
        <w:t xml:space="preserve">National averages conceal that split almost entirely, which is why the prefectural and municipal breakdowns carry more information than the headline figure.</w:t>
      </w:r>
    </w:p>
    <w:p>
      <w:pPr>
        <w:spacing w:after="120" w:before="0" w:line="300"/>
        <w:jc w:val="both"/>
      </w:pPr>
      <w:r>
        <w:rPr>
          <w:rFonts w:ascii="Times New Roman" w:cs="Times New Roman" w:eastAsia="Times New Roman" w:hAnsi="Times New Roman"/>
          <w:color w:val="2E2E2E"/>
          <w:sz w:val="22"/>
          <w:szCs w:val="22"/>
        </w:rPr>
        <w:t xml:space="preserve">Areas near major semiconductor investment have recorded sharp appreciation in recent years, with land values responding to anticipated employment well before facilities reach production.</w:t>
      </w:r>
    </w:p>
    <w:p>
      <w:pPr>
        <w:spacing w:after="120" w:before="0" w:line="300"/>
        <w:jc w:val="both"/>
      </w:pPr>
      <w:r>
        <w:rPr>
          <w:rFonts w:ascii="Times New Roman" w:cs="Times New Roman" w:eastAsia="Times New Roman" w:hAnsi="Times New Roman"/>
          <w:color w:val="2E2E2E"/>
          <w:sz w:val="22"/>
          <w:szCs w:val="22"/>
        </w:rPr>
        <w:t xml:space="preserve">Tourism-driven markets have seen their own support from sustained visitor demand, though that support is concentrated in established destinations rather than distributed across rural Japan generally.</w:t>
      </w:r>
    </w:p>
    <w:p>
      <w:pPr>
        <w:spacing w:after="120" w:before="0" w:line="300"/>
        <w:jc w:val="both"/>
      </w:pPr>
      <w:r>
        <w:rPr>
          <w:rFonts w:ascii="Times New Roman" w:cs="Times New Roman" w:eastAsia="Times New Roman" w:hAnsi="Times New Roman"/>
          <w:color w:val="2E2E2E"/>
          <w:sz w:val="22"/>
          <w:szCs w:val="22"/>
        </w:rPr>
        <w:t xml:space="preserve">At the other end, areas facing the most severe population decline have seen land values fall to levels where conventional market pricing barely applies, the same dynamic underlying the vacant housing problem.</w:t>
      </w:r>
    </w:p>
    <w:p>
      <w:pPr>
        <w:spacing w:after="120" w:before="0" w:line="300"/>
        <w:jc w:val="both"/>
      </w:pPr>
      <w:r>
        <w:rPr>
          <w:rFonts w:ascii="Times New Roman" w:cs="Times New Roman" w:eastAsia="Times New Roman" w:hAnsi="Times New Roman"/>
          <w:color w:val="2E2E2E"/>
          <w:sz w:val="22"/>
          <w:szCs w:val="22"/>
        </w:rPr>
        <w:t xml:space="preserve">This year's figures arrive days before a probable interest rate increase, which bears directly on the financing costs supporting the appreciation the data records.</w:t>
      </w:r>
    </w:p>
    <w:p>
      <w:pPr>
        <w:spacing w:after="120" w:before="0" w:line="300"/>
        <w:jc w:val="both"/>
      </w:pPr>
      <w:r>
        <w:rPr>
          <w:rFonts w:ascii="Times New Roman" w:cs="Times New Roman" w:eastAsia="Times New Roman" w:hAnsi="Times New Roman"/>
          <w:color w:val="2E2E2E"/>
          <w:sz w:val="22"/>
          <w:szCs w:val="22"/>
        </w:rPr>
        <w:t xml:space="preserve">Land prices in Japan carry a historical weight that goes beyond their current market function, since the asset price bubble of the late 1980s and its collapse shaped a generation of household and corporate balance sheets.</w:t>
      </w:r>
    </w:p>
    <w:p>
      <w:pPr>
        <w:spacing w:after="120" w:before="0" w:line="300"/>
        <w:jc w:val="both"/>
      </w:pPr>
      <w:r>
        <w:rPr>
          <w:rFonts w:ascii="Times New Roman" w:cs="Times New Roman" w:eastAsia="Times New Roman" w:hAnsi="Times New Roman"/>
          <w:color w:val="2E2E2E"/>
          <w:sz w:val="22"/>
          <w:szCs w:val="22"/>
        </w:rPr>
        <w:t xml:space="preserve">The long deflation that followed produced decades in which land values fell almost everywhere, an experience that still informs how Japanese households regard property as an investment.</w:t>
      </w:r>
    </w:p>
    <w:p>
      <w:pPr>
        <w:spacing w:after="120" w:before="0" w:line="300"/>
        <w:jc w:val="both"/>
      </w:pPr>
      <w:r>
        <w:rPr>
          <w:rFonts w:ascii="Times New Roman" w:cs="Times New Roman" w:eastAsia="Times New Roman" w:hAnsi="Times New Roman"/>
          <w:color w:val="2E2E2E"/>
          <w:sz w:val="22"/>
          <w:szCs w:val="22"/>
        </w:rPr>
        <w:t xml:space="preserve">The current divergence is therefore something genuinely new, with sustained appreciation in specific metropolitan and investment-linked locations occurring alongside continued decline elsewhere.</w:t>
      </w:r>
    </w:p>
    <w:p>
      <w:pPr>
        <w:spacing w:after="120" w:before="0" w:line="300"/>
        <w:jc w:val="both"/>
      </w:pPr>
      <w:r>
        <w:rPr>
          <w:rFonts w:ascii="Times New Roman" w:cs="Times New Roman" w:eastAsia="Times New Roman" w:hAnsi="Times New Roman"/>
          <w:color w:val="2E2E2E"/>
          <w:sz w:val="22"/>
          <w:szCs w:val="22"/>
        </w:rPr>
        <w:t xml:space="preserve">Semiconductor investment has been the clearest driver of regional appreciation, with land near major fabrication projects responding to anticipated employment well before facilities begin production.</w:t>
      </w:r>
    </w:p>
    <w:p>
      <w:pPr>
        <w:spacing w:after="120" w:before="0" w:line="300"/>
        <w:jc w:val="both"/>
      </w:pPr>
      <w:r>
        <w:rPr>
          <w:rFonts w:ascii="Times New Roman" w:cs="Times New Roman" w:eastAsia="Times New Roman" w:hAnsi="Times New Roman"/>
          <w:color w:val="2E2E2E"/>
          <w:sz w:val="22"/>
          <w:szCs w:val="22"/>
        </w:rPr>
        <w:t xml:space="preserve">Inbound tourism has produced its own concentrated effects, lifting commercial land values in established destinations while leaving areas outside the main visitor circuits largely untouched.</w:t>
      </w:r>
    </w:p>
    <w:p>
      <w:pPr>
        <w:spacing w:after="200" w:before="40"/>
        <w:jc w:val="right"/>
      </w:pPr>
      <w:r>
        <w:rPr>
          <w:rFonts w:ascii="Helvetica" w:cs="Helvetica" w:eastAsia="Helvetica" w:hAnsi="Helvetica"/>
          <w:i/>
          <w:iCs/>
          <w:color w:val="888888"/>
          <w:sz w:val="16"/>
          <w:szCs w:val="16"/>
        </w:rPr>
        <w:t xml:space="preserve">[293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a Nuclear Restart Review Actually Examines</w:t>
      </w:r>
    </w:p>
    <w:p>
      <w:pPr>
        <w:spacing w:after="40" w:before="40"/>
      </w:pPr>
      <w:r>
        <w:rPr>
          <w:rFonts w:ascii="Times New Roman" w:cs="Times New Roman" w:eastAsia="Times New Roman" w:hAnsi="Times New Roman"/>
          <w:i/>
          <w:iCs/>
          <w:color w:val="9B1B2A"/>
          <w:sz w:val="22"/>
          <w:szCs w:val="22"/>
        </w:rPr>
        <w:t xml:space="preserve">The Hamaoka withdrawal turns on a process most readers never see. Here is how it works</w:t>
      </w:r>
    </w:p>
    <w:p>
      <w:pPr>
        <w:pBdr>
          <w:bottom w:val="single" w:color="CCCCCC" w:sz="4"/>
        </w:pBdr>
        <w:spacing w:after="120" w:before="40"/>
      </w:pPr>
      <w:r>
        <w:rPr>
          <w:rFonts w:ascii="Helvetica" w:cs="Helvetica" w:eastAsia="Helvetica" w:hAnsi="Helvetica"/>
          <w:i/>
          <w:iCs/>
          <w:color w:val="888888"/>
          <w:sz w:val="18"/>
          <w:szCs w:val="18"/>
        </w:rPr>
        <w:t xml:space="preserve">By Maya Suzuki | Science &amp; Innovation Desk</w:t>
      </w:r>
    </w:p>
    <w:p>
      <w:pPr>
        <w:spacing w:after="120" w:before="0" w:line="300"/>
        <w:jc w:val="both"/>
      </w:pPr>
      <w:r>
        <w:rPr>
          <w:rFonts w:ascii="Times New Roman" w:cs="Times New Roman" w:eastAsia="Times New Roman" w:hAnsi="Times New Roman"/>
          <w:color w:val="2E2E2E"/>
          <w:sz w:val="22"/>
          <w:szCs w:val="22"/>
        </w:rPr>
        <w:t xml:space="preserve">The Nuclear Regulation Authority's conformity review is the gate every Japanese reactor must pass before returning to service, and the Hamaoka withdrawal is best understood against what that review demands.</w:t>
      </w:r>
    </w:p>
    <w:p>
      <w:pPr>
        <w:spacing w:after="120" w:before="0" w:line="300"/>
        <w:jc w:val="both"/>
      </w:pPr>
      <w:r>
        <w:rPr>
          <w:rFonts w:ascii="Times New Roman" w:cs="Times New Roman" w:eastAsia="Times New Roman" w:hAnsi="Times New Roman"/>
          <w:color w:val="2E2E2E"/>
          <w:sz w:val="22"/>
          <w:szCs w:val="22"/>
        </w:rPr>
        <w:t xml:space="preserve">The authority was created in 2012, replacing a predecessor that had sat within the ministry responsible for promoting nuclear power, an arrangement widely judged after 2011 to have blurred the line between regulator and industry.</w:t>
      </w:r>
    </w:p>
    <w:p>
      <w:pPr>
        <w:spacing w:after="120" w:before="0" w:line="300"/>
        <w:jc w:val="both"/>
      </w:pPr>
      <w:r>
        <w:rPr>
          <w:rFonts w:ascii="Times New Roman" w:cs="Times New Roman" w:eastAsia="Times New Roman" w:hAnsi="Times New Roman"/>
          <w:color w:val="2E2E2E"/>
          <w:sz w:val="22"/>
          <w:szCs w:val="22"/>
        </w:rPr>
        <w:t xml:space="preserve">New regulatory standards followed in 2013, and they were deliberately more demanding than the rules the pre-accident fleet had been licensed under. Every reactor seeking restart must demonstrate compliance with them from the ground up.</w:t>
      </w:r>
    </w:p>
    <w:p>
      <w:pPr>
        <w:spacing w:after="120" w:before="0" w:line="300"/>
        <w:jc w:val="both"/>
      </w:pPr>
      <w:r>
        <w:rPr>
          <w:rFonts w:ascii="Times New Roman" w:cs="Times New Roman" w:eastAsia="Times New Roman" w:hAnsi="Times New Roman"/>
          <w:color w:val="2E2E2E"/>
          <w:sz w:val="22"/>
          <w:szCs w:val="22"/>
        </w:rPr>
        <w:t xml:space="preserve">Seismic and tsunami assessment forms the core of the review for a coastal plant. Operators must characterise the faults capable of affecting the site, estimate the strongest ground motion those faults could produce, and show that structures and safety systems can withstand it.</w:t>
      </w:r>
    </w:p>
    <w:p>
      <w:pPr>
        <w:spacing w:after="120" w:before="0" w:line="300"/>
        <w:jc w:val="both"/>
      </w:pPr>
      <w:r>
        <w:rPr>
          <w:rFonts w:ascii="Times New Roman" w:cs="Times New Roman" w:eastAsia="Times New Roman" w:hAnsi="Times New Roman"/>
          <w:color w:val="2E2E2E"/>
          <w:sz w:val="22"/>
          <w:szCs w:val="22"/>
        </w:rPr>
        <w:t xml:space="preserve">That ground motion figure, the design-basis seismic motion, is the number everything else is built around. Reactor buildings, cooling systems, emergency power and containment are all assessed against it, which is why corrupting the data behind it undermines the entire safety case rather than one element.</w:t>
      </w:r>
    </w:p>
    <w:p>
      <w:pPr>
        <w:spacing w:after="120" w:before="0" w:line="300"/>
        <w:jc w:val="both"/>
      </w:pPr>
      <w:r>
        <w:rPr>
          <w:rFonts w:ascii="Times New Roman" w:cs="Times New Roman" w:eastAsia="Times New Roman" w:hAnsi="Times New Roman"/>
          <w:color w:val="2E2E2E"/>
          <w:sz w:val="22"/>
          <w:szCs w:val="22"/>
        </w:rPr>
        <w:t xml:space="preserve">Beyond seismic questions, the review covers protection against tsunami, fire, aircraft impact and severe accidents, along with the emergency response arrangements that would operate if defences failed.</w:t>
      </w:r>
    </w:p>
    <w:p>
      <w:pPr>
        <w:spacing w:after="120" w:before="0" w:line="300"/>
        <w:jc w:val="both"/>
      </w:pPr>
      <w:r>
        <w:rPr>
          <w:rFonts w:ascii="Times New Roman" w:cs="Times New Roman" w:eastAsia="Times New Roman" w:hAnsi="Times New Roman"/>
          <w:color w:val="2E2E2E"/>
          <w:sz w:val="22"/>
          <w:szCs w:val="22"/>
        </w:rPr>
        <w:t xml:space="preserve">The process is document-heavy and iterative. Operators submit analyses, the authority's technical staff question them, revisions follow, and the exchange can run for years before a determination is reached.</w:t>
      </w:r>
    </w:p>
    <w:p>
      <w:pPr>
        <w:spacing w:after="120" w:before="0" w:line="300"/>
        <w:jc w:val="both"/>
      </w:pPr>
      <w:r>
        <w:rPr>
          <w:rFonts w:ascii="Times New Roman" w:cs="Times New Roman" w:eastAsia="Times New Roman" w:hAnsi="Times New Roman"/>
          <w:color w:val="2E2E2E"/>
          <w:sz w:val="22"/>
          <w:szCs w:val="22"/>
        </w:rPr>
        <w:t xml:space="preserve">Public comment periods and hearings form part of the sequence, giving local residents and outside experts a formal opportunity to challenge the operator's submissions.</w:t>
      </w:r>
    </w:p>
    <w:p>
      <w:pPr>
        <w:spacing w:after="120" w:before="0" w:line="300"/>
        <w:jc w:val="both"/>
      </w:pPr>
      <w:r>
        <w:rPr>
          <w:rFonts w:ascii="Times New Roman" w:cs="Times New Roman" w:eastAsia="Times New Roman" w:hAnsi="Times New Roman"/>
          <w:color w:val="2E2E2E"/>
          <w:sz w:val="22"/>
          <w:szCs w:val="22"/>
        </w:rPr>
        <w:t xml:space="preserve">Approval by the authority is necessary but not sufficient. Local consent from host municipalities and prefectures is required separately, and it has stalled restarts that had cleared the regulatory hurdle.</w:t>
      </w:r>
    </w:p>
    <w:p>
      <w:pPr>
        <w:spacing w:after="120" w:before="0" w:line="300"/>
        <w:jc w:val="both"/>
      </w:pPr>
      <w:r>
        <w:rPr>
          <w:rFonts w:ascii="Times New Roman" w:cs="Times New Roman" w:eastAsia="Times New Roman" w:hAnsi="Times New Roman"/>
          <w:color w:val="2E2E2E"/>
          <w:sz w:val="22"/>
          <w:szCs w:val="22"/>
        </w:rPr>
        <w:t xml:space="preserve">The review's reliance on operator-submitted data is its structural vulnerability, which is precisely why the authority conducts independent verification rather than accepting analyses at face value.</w:t>
      </w:r>
    </w:p>
    <w:p>
      <w:pPr>
        <w:spacing w:after="120" w:before="0" w:line="300"/>
        <w:jc w:val="both"/>
      </w:pPr>
      <w:r>
        <w:rPr>
          <w:rFonts w:ascii="Times New Roman" w:cs="Times New Roman" w:eastAsia="Times New Roman" w:hAnsi="Times New Roman"/>
          <w:color w:val="2E2E2E"/>
          <w:sz w:val="22"/>
          <w:szCs w:val="22"/>
        </w:rPr>
        <w:t xml:space="preserve">Hamaoka's case demonstrates that verification functioning as intended. The falsification surfaced before approval, not after, which is the outcome the post-2011 architecture was built to produce.</w:t>
      </w:r>
    </w:p>
    <w:p>
      <w:pPr>
        <w:spacing w:after="120" w:before="0" w:line="300"/>
        <w:jc w:val="both"/>
      </w:pPr>
      <w:r>
        <w:rPr>
          <w:rFonts w:ascii="Times New Roman" w:cs="Times New Roman" w:eastAsia="Times New Roman" w:hAnsi="Times New Roman"/>
          <w:color w:val="2E2E2E"/>
          <w:sz w:val="22"/>
          <w:szCs w:val="22"/>
        </w:rPr>
        <w:t xml:space="preserve">It also demonstrates the limit of what a regulator can do. It can catch bad data. It cannot supply the institutional culture that would have prevented the data from being produced.</w:t>
      </w:r>
    </w:p>
    <w:p>
      <w:pPr>
        <w:spacing w:after="200" w:before="40"/>
        <w:jc w:val="right"/>
      </w:pPr>
      <w:r>
        <w:rPr>
          <w:rFonts w:ascii="Helvetica" w:cs="Helvetica" w:eastAsia="Helvetica" w:hAnsi="Helvetica"/>
          <w:i/>
          <w:iCs/>
          <w:color w:val="888888"/>
          <w:sz w:val="16"/>
          <w:szCs w:val="16"/>
        </w:rPr>
        <w:t xml:space="preserve">[382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a 154 Yen Dollar Means at the Checkout</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The dollar's position in the mid-154 yen range, roughly 154.36 by Monday evening, reaches household budgets through channels that are easy to state and slow to unwind.</w:t>
      </w:r>
    </w:p>
    <w:p>
      <w:pPr>
        <w:spacing w:after="120" w:before="0" w:line="300"/>
        <w:jc w:val="both"/>
      </w:pPr>
      <w:r>
        <w:rPr>
          <w:rFonts w:ascii="Times New Roman" w:cs="Times New Roman" w:eastAsia="Times New Roman" w:hAnsi="Times New Roman"/>
          <w:color w:val="2E2E2E"/>
          <w:sz w:val="22"/>
          <w:szCs w:val="22"/>
        </w:rPr>
        <w:t xml:space="preserve">Japan imports the overwhelming majority of its energy and a substantial share of its food, both priced in dollars, which means every move in the exchange rate changes the yen cost of essentials before any domestic decision is taken.</w:t>
      </w:r>
    </w:p>
    <w:p>
      <w:pPr>
        <w:spacing w:after="120" w:before="0" w:line="300"/>
        <w:jc w:val="both"/>
      </w:pPr>
      <w:r>
        <w:rPr>
          <w:rFonts w:ascii="Times New Roman" w:cs="Times New Roman" w:eastAsia="Times New Roman" w:hAnsi="Times New Roman"/>
          <w:color w:val="2E2E2E"/>
          <w:sz w:val="22"/>
          <w:szCs w:val="22"/>
        </w:rPr>
        <w:t xml:space="preserve">Fuel is the most immediate channel, with petrol and heating costs responding within weeks, and electricity tariffs following through the fuel cost adjustment mechanism with a lag of several months.</w:t>
      </w:r>
    </w:p>
    <w:p>
      <w:pPr>
        <w:spacing w:after="120" w:before="0" w:line="300"/>
        <w:jc w:val="both"/>
      </w:pPr>
      <w:r>
        <w:rPr>
          <w:rFonts w:ascii="Times New Roman" w:cs="Times New Roman" w:eastAsia="Times New Roman" w:hAnsi="Times New Roman"/>
          <w:color w:val="2E2E2E"/>
          <w:sz w:val="22"/>
          <w:szCs w:val="22"/>
        </w:rPr>
        <w:t xml:space="preserve">Food follows more slowly and less visibly, as processors and retailers absorb some of the increase before passing the remainder through in ways that often appear as smaller package sizes rather than higher prices.</w:t>
      </w:r>
    </w:p>
    <w:p>
      <w:pPr>
        <w:spacing w:after="120" w:before="0" w:line="300"/>
        <w:jc w:val="both"/>
      </w:pPr>
      <w:r>
        <w:rPr>
          <w:rFonts w:ascii="Times New Roman" w:cs="Times New Roman" w:eastAsia="Times New Roman" w:hAnsi="Times New Roman"/>
          <w:color w:val="2E2E2E"/>
          <w:sz w:val="22"/>
          <w:szCs w:val="22"/>
        </w:rPr>
        <w:t xml:space="preserve">Producer prices have run above consumer prices for an extended period, indicating cost pressure that firms have absorbed rather than passed on, a buffer that thins the longer it is drawn on.</w:t>
      </w:r>
    </w:p>
    <w:p>
      <w:pPr>
        <w:spacing w:after="120" w:before="0" w:line="300"/>
        <w:jc w:val="both"/>
      </w:pPr>
      <w:r>
        <w:rPr>
          <w:rFonts w:ascii="Times New Roman" w:cs="Times New Roman" w:eastAsia="Times New Roman" w:hAnsi="Times New Roman"/>
          <w:color w:val="2E2E2E"/>
          <w:sz w:val="22"/>
          <w:szCs w:val="22"/>
        </w:rPr>
        <w:t xml:space="preserve">The consumption tax cut on food approved Tuesday addresses one line in the same budget, though it does not take effect until April 2027.</w:t>
      </w:r>
    </w:p>
    <w:p>
      <w:pPr>
        <w:spacing w:after="120" w:before="0" w:line="300"/>
        <w:jc w:val="both"/>
      </w:pPr>
      <w:r>
        <w:rPr>
          <w:rFonts w:ascii="Times New Roman" w:cs="Times New Roman" w:eastAsia="Times New Roman" w:hAnsi="Times New Roman"/>
          <w:color w:val="2E2E2E"/>
          <w:sz w:val="22"/>
          <w:szCs w:val="22"/>
        </w:rPr>
        <w:t xml:space="preserve">A Bank of Japan rate increase this week would support the yen by narrowing the interest-rate differential with the dollar, which is the argument for acting even while imported inflation rather than domestic demand drives the price picture.</w:t>
      </w:r>
    </w:p>
    <w:p>
      <w:pPr>
        <w:spacing w:after="120" w:before="0" w:line="300"/>
        <w:jc w:val="both"/>
      </w:pPr>
      <w:r>
        <w:rPr>
          <w:rFonts w:ascii="Times New Roman" w:cs="Times New Roman" w:eastAsia="Times New Roman" w:hAnsi="Times New Roman"/>
          <w:color w:val="2E2E2E"/>
          <w:sz w:val="22"/>
          <w:szCs w:val="22"/>
        </w:rPr>
        <w:t xml:space="preserve">Households with foreign-currency savings or overseas assets experience the reverse effect, and the distribution of currency exposure across Japanese households is far from uniform.</w:t>
      </w:r>
    </w:p>
    <w:p>
      <w:pPr>
        <w:spacing w:after="120" w:before="0" w:line="300"/>
        <w:jc w:val="both"/>
      </w:pPr>
      <w:r>
        <w:rPr>
          <w:rFonts w:ascii="Times New Roman" w:cs="Times New Roman" w:eastAsia="Times New Roman" w:hAnsi="Times New Roman"/>
          <w:color w:val="2E2E2E"/>
          <w:sz w:val="22"/>
          <w:szCs w:val="22"/>
        </w:rPr>
        <w:t xml:space="preserve">Tourism runs the other way as well, with a weaker yen making Japan cheaper for inbound visitors and contributing to the visitor numbers that have supported hospitality and retail.</w:t>
      </w:r>
    </w:p>
    <w:p>
      <w:pPr>
        <w:spacing w:after="120" w:before="0" w:line="300"/>
        <w:jc w:val="both"/>
      </w:pPr>
      <w:r>
        <w:rPr>
          <w:rFonts w:ascii="Times New Roman" w:cs="Times New Roman" w:eastAsia="Times New Roman" w:hAnsi="Times New Roman"/>
          <w:color w:val="2E2E2E"/>
          <w:sz w:val="22"/>
          <w:szCs w:val="22"/>
        </w:rPr>
        <w:t xml:space="preserve">The government's earlier currency intervention, conducted in coordination with Washington, established that authorities are prepared to act against disorderly moves, though intervention addresses volatility rather than level.</w:t>
      </w:r>
    </w:p>
    <w:p>
      <w:pPr>
        <w:spacing w:after="120" w:before="0" w:line="300"/>
        <w:jc w:val="both"/>
      </w:pPr>
      <w:r>
        <w:rPr>
          <w:rFonts w:ascii="Times New Roman" w:cs="Times New Roman" w:eastAsia="Times New Roman" w:hAnsi="Times New Roman"/>
          <w:color w:val="2E2E2E"/>
          <w:sz w:val="22"/>
          <w:szCs w:val="22"/>
        </w:rPr>
        <w:t xml:space="preserve">Wage growth is the variable that determines whether currency-driven price increases become a sustained squeeze or a temporary one, and it is the variable the Bank of Japan has repeatedly named as decisive.</w:t>
      </w:r>
    </w:p>
    <w:p>
      <w:pPr>
        <w:spacing w:after="200" w:before="40"/>
        <w:jc w:val="right"/>
      </w:pPr>
      <w:r>
        <w:rPr>
          <w:rFonts w:ascii="Helvetica" w:cs="Helvetica" w:eastAsia="Helvetica" w:hAnsi="Helvetica"/>
          <w:i/>
          <w:iCs/>
          <w:color w:val="888888"/>
          <w:sz w:val="16"/>
          <w:szCs w:val="16"/>
        </w:rPr>
        <w:t xml:space="preserve">[337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How to Read the Markets Table</w:t>
      </w:r>
    </w:p>
    <w:p>
      <w:pPr>
        <w:spacing w:after="40" w:before="40"/>
      </w:pPr>
      <w:r>
        <w:rPr>
          <w:rFonts w:ascii="Times New Roman" w:cs="Times New Roman" w:eastAsia="Times New Roman" w:hAnsi="Times New Roman"/>
          <w:i/>
          <w:iCs/>
          <w:color w:val="9B1B2A"/>
          <w:sz w:val="22"/>
          <w:szCs w:val="22"/>
        </w:rPr>
        <w:t xml:space="preserve">The figures reported each day mean more when the mechanics behind them are clear</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The daily markets summary reports a small set of figures that between them describe the financial conditions Japan operates under, and each rewards a moment's attention to what it actually measures.</w:t>
      </w:r>
    </w:p>
    <w:p>
      <w:pPr>
        <w:spacing w:after="120" w:before="0" w:line="300"/>
        <w:jc w:val="both"/>
      </w:pPr>
      <w:r>
        <w:rPr>
          <w:rFonts w:ascii="Times New Roman" w:cs="Times New Roman" w:eastAsia="Times New Roman" w:hAnsi="Times New Roman"/>
          <w:color w:val="2E2E2E"/>
          <w:sz w:val="22"/>
          <w:szCs w:val="22"/>
        </w:rPr>
        <w:t xml:space="preserve">The Nikkei 225 averages the share prices of 225 selected companies with an adjustment factor, which gives high-priced shares more influence than their company's size would justify. It is the figure most often quoted and the one most easily moved by a handful of names.</w:t>
      </w:r>
    </w:p>
    <w:p>
      <w:pPr>
        <w:spacing w:after="120" w:before="0" w:line="300"/>
        <w:jc w:val="both"/>
      </w:pPr>
      <w:r>
        <w:rPr>
          <w:rFonts w:ascii="Times New Roman" w:cs="Times New Roman" w:eastAsia="Times New Roman" w:hAnsi="Times New Roman"/>
          <w:color w:val="2E2E2E"/>
          <w:sz w:val="22"/>
          <w:szCs w:val="22"/>
        </w:rPr>
        <w:t xml:space="preserve">The TOPIX weights every company on the prime market by its market capitalisation, so a large company moves it more than a small one regardless of share price. It is the better measure of the market as a whole, and it can move opposite to the Nikkei on the same day, as it did on Monday.</w:t>
      </w:r>
    </w:p>
    <w:p>
      <w:pPr>
        <w:spacing w:after="120" w:before="0" w:line="300"/>
        <w:jc w:val="both"/>
      </w:pPr>
      <w:r>
        <w:rPr>
          <w:rFonts w:ascii="Times New Roman" w:cs="Times New Roman" w:eastAsia="Times New Roman" w:hAnsi="Times New Roman"/>
          <w:color w:val="2E2E2E"/>
          <w:sz w:val="22"/>
          <w:szCs w:val="22"/>
        </w:rPr>
        <w:t xml:space="preserve">Advance-decline figures count how many issues rose against how many fell, which reveals whether an index move was broad or concentrated. Monday's Nikkei fell while more than 70% of prime stocks rose, a divergence the count exposes and the index alone conceals.</w:t>
      </w:r>
    </w:p>
    <w:p>
      <w:pPr>
        <w:spacing w:after="120" w:before="0" w:line="300"/>
        <w:jc w:val="both"/>
      </w:pPr>
      <w:r>
        <w:rPr>
          <w:rFonts w:ascii="Times New Roman" w:cs="Times New Roman" w:eastAsia="Times New Roman" w:hAnsi="Times New Roman"/>
          <w:color w:val="2E2E2E"/>
          <w:sz w:val="22"/>
          <w:szCs w:val="22"/>
        </w:rPr>
        <w:t xml:space="preserve">Trading value, reported in trillions of yen, indicates conviction. Sharp moves on light volume, as on Monday's roughly 7.3 trillion yen, suggest positioning rather than a decisive shift in view.</w:t>
      </w:r>
    </w:p>
    <w:p>
      <w:pPr>
        <w:spacing w:after="120" w:before="0" w:line="300"/>
        <w:jc w:val="both"/>
      </w:pPr>
      <w:r>
        <w:rPr>
          <w:rFonts w:ascii="Times New Roman" w:cs="Times New Roman" w:eastAsia="Times New Roman" w:hAnsi="Times New Roman"/>
          <w:color w:val="2E2E2E"/>
          <w:sz w:val="22"/>
          <w:szCs w:val="22"/>
        </w:rPr>
        <w:t xml:space="preserve">The dollar-yen rate is quoted as yen per dollar, so a higher number means a weaker yen. At 154 the yen buys less abroad than at 150, which raises the cost of everything Japan imports.</w:t>
      </w:r>
    </w:p>
    <w:p>
      <w:pPr>
        <w:spacing w:after="120" w:before="0" w:line="300"/>
        <w:jc w:val="both"/>
      </w:pPr>
      <w:r>
        <w:rPr>
          <w:rFonts w:ascii="Times New Roman" w:cs="Times New Roman" w:eastAsia="Times New Roman" w:hAnsi="Times New Roman"/>
          <w:color w:val="2E2E2E"/>
          <w:sz w:val="22"/>
          <w:szCs w:val="22"/>
        </w:rPr>
        <w:t xml:space="preserve">The 10-year Treasury yield is the benchmark for global long-term interest rates. When it rises, as it briefly did above 5% this week, borrowing costs rise everywhere and the value of assets whose returns lie in the future falls.</w:t>
      </w:r>
    </w:p>
    <w:p>
      <w:pPr>
        <w:spacing w:after="120" w:before="0" w:line="300"/>
        <w:jc w:val="both"/>
      </w:pPr>
      <w:r>
        <w:rPr>
          <w:rFonts w:ascii="Times New Roman" w:cs="Times New Roman" w:eastAsia="Times New Roman" w:hAnsi="Times New Roman"/>
          <w:color w:val="2E2E2E"/>
          <w:sz w:val="22"/>
          <w:szCs w:val="22"/>
        </w:rPr>
        <w:t xml:space="preserve">The Bank of Japan policy rate is the overnight rate the central bank targets. Its current level of 1.00% and the expected move to 1.25% shape the return on yen deposits and the cost of variable-rate borrowing.</w:t>
      </w:r>
    </w:p>
    <w:p>
      <w:pPr>
        <w:spacing w:after="120" w:before="0" w:line="300"/>
        <w:jc w:val="both"/>
      </w:pPr>
      <w:r>
        <w:rPr>
          <w:rFonts w:ascii="Times New Roman" w:cs="Times New Roman" w:eastAsia="Times New Roman" w:hAnsi="Times New Roman"/>
          <w:color w:val="2E2E2E"/>
          <w:sz w:val="22"/>
          <w:szCs w:val="22"/>
        </w:rPr>
        <w:t xml:space="preserve">Crude oil is quoted per barrel of West Texas Intermediate, the American benchmark, with Brent the European equivalent. Japan buys mostly Middle Eastern grades priced with reference to both.</w:t>
      </w:r>
    </w:p>
    <w:p>
      <w:pPr>
        <w:spacing w:after="120" w:before="0" w:line="300"/>
        <w:jc w:val="both"/>
      </w:pPr>
      <w:r>
        <w:rPr>
          <w:rFonts w:ascii="Times New Roman" w:cs="Times New Roman" w:eastAsia="Times New Roman" w:hAnsi="Times New Roman"/>
          <w:color w:val="2E2E2E"/>
          <w:sz w:val="22"/>
          <w:szCs w:val="22"/>
        </w:rPr>
        <w:t xml:space="preserve">The 52-week high and low locate the current level within the past year's range. The Nikkei's June high of 72,831.73 sits well above Monday's close, and the gap is the pullback's size.</w:t>
      </w:r>
    </w:p>
    <w:p>
      <w:pPr>
        <w:spacing w:after="120" w:before="0" w:line="300"/>
        <w:jc w:val="both"/>
      </w:pPr>
      <w:r>
        <w:rPr>
          <w:rFonts w:ascii="Times New Roman" w:cs="Times New Roman" w:eastAsia="Times New Roman" w:hAnsi="Times New Roman"/>
          <w:color w:val="2E2E2E"/>
          <w:sz w:val="22"/>
          <w:szCs w:val="22"/>
        </w:rPr>
        <w:t xml:space="preserve">None of these figures determines any household decision on its own. Together they describe the environment in which such decisions are made, which is why they are reported daily.</w:t>
      </w:r>
    </w:p>
    <w:p>
      <w:pPr>
        <w:spacing w:after="200" w:before="40"/>
        <w:jc w:val="right"/>
      </w:pPr>
      <w:r>
        <w:rPr>
          <w:rFonts w:ascii="Helvetica" w:cs="Helvetica" w:eastAsia="Helvetica" w:hAnsi="Helvetica"/>
          <w:i/>
          <w:iCs/>
          <w:color w:val="888888"/>
          <w:sz w:val="16"/>
          <w:szCs w:val="16"/>
        </w:rPr>
        <w:t xml:space="preserve">[405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Wages: The Condition the Bank of Japan Keeps Naming</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Through every stage of its move away from zero rates, the Bank of Japan has returned to the same condition: sustainable wage growth. Understanding why explains much of what the board will weigh this week.</w:t>
      </w:r>
    </w:p>
    <w:p>
      <w:pPr>
        <w:spacing w:after="120" w:before="0" w:line="300"/>
        <w:jc w:val="both"/>
      </w:pPr>
      <w:r>
        <w:rPr>
          <w:rFonts w:ascii="Times New Roman" w:cs="Times New Roman" w:eastAsia="Times New Roman" w:hAnsi="Times New Roman"/>
          <w:color w:val="2E2E2E"/>
          <w:sz w:val="22"/>
          <w:szCs w:val="22"/>
        </w:rPr>
        <w:t xml:space="preserve">Inflation driven by import costs, of the kind a weak yen and elevated crude produce, is not the inflation a central bank aims to create. It squeezes households without reflecting any strength in domestic demand.</w:t>
      </w:r>
    </w:p>
    <w:p>
      <w:pPr>
        <w:spacing w:after="120" w:before="0" w:line="300"/>
        <w:jc w:val="both"/>
      </w:pPr>
      <w:r>
        <w:rPr>
          <w:rFonts w:ascii="Times New Roman" w:cs="Times New Roman" w:eastAsia="Times New Roman" w:hAnsi="Times New Roman"/>
          <w:color w:val="2E2E2E"/>
          <w:sz w:val="22"/>
          <w:szCs w:val="22"/>
        </w:rPr>
        <w:t xml:space="preserve">Inflation driven by wages is different. When pay rises faster than prices, households can absorb higher costs, spend more, and sustain the demand that justifies a normalised policy rate.</w:t>
      </w:r>
    </w:p>
    <w:p>
      <w:pPr>
        <w:spacing w:after="120" w:before="0" w:line="300"/>
        <w:jc w:val="both"/>
      </w:pPr>
      <w:r>
        <w:rPr>
          <w:rFonts w:ascii="Times New Roman" w:cs="Times New Roman" w:eastAsia="Times New Roman" w:hAnsi="Times New Roman"/>
          <w:color w:val="2E2E2E"/>
          <w:sz w:val="22"/>
          <w:szCs w:val="22"/>
        </w:rPr>
        <w:t xml:space="preserve">Japan spent decades in which neither wages nor prices moved much, and the bank's concern has been that tightening before wage growth is established would return the economy to that stasis.</w:t>
      </w:r>
    </w:p>
    <w:p>
      <w:pPr>
        <w:spacing w:after="120" w:before="0" w:line="300"/>
        <w:jc w:val="both"/>
      </w:pPr>
      <w:r>
        <w:rPr>
          <w:rFonts w:ascii="Times New Roman" w:cs="Times New Roman" w:eastAsia="Times New Roman" w:hAnsi="Times New Roman"/>
          <w:color w:val="2E2E2E"/>
          <w:sz w:val="22"/>
          <w:szCs w:val="22"/>
        </w:rPr>
        <w:t xml:space="preserve">Annual spring wage negotiations, the shunto, have produced the largest settlements in decades over recent rounds, which is the evidence the bank has cited in each step it has taken.</w:t>
      </w:r>
    </w:p>
    <w:p>
      <w:pPr>
        <w:spacing w:after="120" w:before="0" w:line="300"/>
        <w:jc w:val="both"/>
      </w:pPr>
      <w:r>
        <w:rPr>
          <w:rFonts w:ascii="Times New Roman" w:cs="Times New Roman" w:eastAsia="Times New Roman" w:hAnsi="Times New Roman"/>
          <w:color w:val="2E2E2E"/>
          <w:sz w:val="22"/>
          <w:szCs w:val="22"/>
        </w:rPr>
        <w:t xml:space="preserve">The question is whether those settlements reach the smaller firms that employ most Japanese workers, since headline figures reflect large companies whose capacity to raise pay exceeds the average.</w:t>
      </w:r>
    </w:p>
    <w:p>
      <w:pPr>
        <w:spacing w:after="120" w:before="0" w:line="300"/>
        <w:jc w:val="both"/>
      </w:pPr>
      <w:r>
        <w:rPr>
          <w:rFonts w:ascii="Times New Roman" w:cs="Times New Roman" w:eastAsia="Times New Roman" w:hAnsi="Times New Roman"/>
          <w:color w:val="2E2E2E"/>
          <w:sz w:val="22"/>
          <w:szCs w:val="22"/>
        </w:rPr>
        <w:t xml:space="preserve">Real wages, adjusted for inflation, have moved between positive and negative territory as import costs have fluctuated, and a return to sustained real growth is what the bank means by its condition.</w:t>
      </w:r>
    </w:p>
    <w:p>
      <w:pPr>
        <w:spacing w:after="120" w:before="0" w:line="300"/>
        <w:jc w:val="both"/>
      </w:pPr>
      <w:r>
        <w:rPr>
          <w:rFonts w:ascii="Times New Roman" w:cs="Times New Roman" w:eastAsia="Times New Roman" w:hAnsi="Times New Roman"/>
          <w:color w:val="2E2E2E"/>
          <w:sz w:val="22"/>
          <w:szCs w:val="22"/>
        </w:rPr>
        <w:t xml:space="preserve">The consumption tax cut on food from April 2027 addresses household purchasing power from the other side, reducing prices rather than raising incomes, and its timing lies beyond the horizon of this week's decision.</w:t>
      </w:r>
    </w:p>
    <w:p>
      <w:pPr>
        <w:spacing w:after="120" w:before="0" w:line="300"/>
        <w:jc w:val="both"/>
      </w:pPr>
      <w:r>
        <w:rPr>
          <w:rFonts w:ascii="Times New Roman" w:cs="Times New Roman" w:eastAsia="Times New Roman" w:hAnsi="Times New Roman"/>
          <w:color w:val="2E2E2E"/>
          <w:sz w:val="22"/>
          <w:szCs w:val="22"/>
        </w:rPr>
        <w:t xml:space="preserve">A rate increase to 1.25% would signal that the board judges the wage condition sufficiently met to continue, while the accompanying statement will indicate how much further it expects to go.</w:t>
      </w:r>
    </w:p>
    <w:p>
      <w:pPr>
        <w:spacing w:after="120" w:before="0" w:line="300"/>
        <w:jc w:val="both"/>
      </w:pPr>
      <w:r>
        <w:rPr>
          <w:rFonts w:ascii="Times New Roman" w:cs="Times New Roman" w:eastAsia="Times New Roman" w:hAnsi="Times New Roman"/>
          <w:color w:val="2E2E2E"/>
          <w:sz w:val="22"/>
          <w:szCs w:val="22"/>
        </w:rPr>
        <w:t xml:space="preserve">Labour shortages across construction, care, logistics and hospitality exert their own upward pressure on pay, a structural factor that predates the current cycle and will outlast it.</w:t>
      </w:r>
    </w:p>
    <w:p>
      <w:pPr>
        <w:spacing w:after="120" w:before="0" w:line="300"/>
        <w:jc w:val="both"/>
      </w:pPr>
      <w:r>
        <w:rPr>
          <w:rFonts w:ascii="Times New Roman" w:cs="Times New Roman" w:eastAsia="Times New Roman" w:hAnsi="Times New Roman"/>
          <w:color w:val="2E2E2E"/>
          <w:sz w:val="22"/>
          <w:szCs w:val="22"/>
        </w:rPr>
        <w:t xml:space="preserve">For households, the practical meaning is that the bank's willingness to raise rates is, in its own framing, a judgment that incomes can bear it.</w:t>
      </w:r>
    </w:p>
    <w:p>
      <w:pPr>
        <w:spacing w:after="200" w:before="40"/>
        <w:jc w:val="right"/>
      </w:pPr>
      <w:r>
        <w:rPr>
          <w:rFonts w:ascii="Helvetica" w:cs="Helvetica" w:eastAsia="Helvetica" w:hAnsi="Helvetica"/>
          <w:i/>
          <w:iCs/>
          <w:color w:val="888888"/>
          <w:sz w:val="16"/>
          <w:szCs w:val="16"/>
        </w:rPr>
        <w:t xml:space="preserve">[338 words]</w:t>
      </w:r>
    </w:p>
    <w:p>
      <w:pPr>
        <w:shd w:fill="0D1B2A" w:color="auto" w:val="clear"/>
        <w:spacing w:after="160" w:before="300"/>
        <w:jc w:val="center"/>
      </w:pPr>
      <w:r>
        <w:rPr>
          <w:rFonts w:ascii="Helvetica" w:cs="Helvetica" w:eastAsia="Helvetica" w:hAnsi="Helvetica"/>
          <w:b/>
          <w:bCs/>
          <w:color w:val="FFFFFF"/>
          <w:sz w:val="24"/>
          <w:szCs w:val="24"/>
        </w:rPr>
        <w:t xml:space="preserve">— BUSINESS —</w:t>
      </w:r>
    </w:p>
    <w:p>
      <w:pPr>
        <w:pBdr>
          <w:top w:val="thick" w:color="9B1B2A" w:sz="18"/>
        </w:pBdr>
        <w:spacing w:after="80" w:before="160"/>
      </w:pPr>
      <w:r>
        <w:rPr>
          <w:rFonts w:ascii="Times New Roman" w:cs="Times New Roman" w:eastAsia="Times New Roman" w:hAnsi="Times New Roman"/>
          <w:b/>
          <w:bCs/>
          <w:color w:val="0D1B2A"/>
          <w:sz w:val="40"/>
          <w:szCs w:val="40"/>
        </w:rPr>
        <w:t xml:space="preserve">Toyota to Expand Hydrogen Fuel Cell Supply to European Trucks</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Toyota will expand its supply of hydrogen fuel cell systems to European truck manufacturers, according to Yomiuri Shimbun, extending a bet on hydrogen that the company has maintained through a decade in which most of the industry moved decisively toward batteries.</w:t>
      </w:r>
    </w:p>
    <w:p>
      <w:pPr>
        <w:spacing w:after="120" w:before="0" w:line="300"/>
        <w:jc w:val="both"/>
      </w:pPr>
      <w:r>
        <w:rPr>
          <w:rFonts w:ascii="Times New Roman" w:cs="Times New Roman" w:eastAsia="Times New Roman" w:hAnsi="Times New Roman"/>
          <w:color w:val="2E2E2E"/>
          <w:sz w:val="22"/>
          <w:szCs w:val="22"/>
        </w:rPr>
        <w:t xml:space="preserve">Heavy trucking is the segment where Toyota's argument has always been strongest. Long-haul freight demands range and rapid refuelling in ways that battery weight and charging times make awkward, and a hydrogen system sidesteps both constraints if the fuel is available.</w:t>
      </w:r>
    </w:p>
    <w:p>
      <w:pPr>
        <w:spacing w:after="120" w:before="0" w:line="300"/>
        <w:jc w:val="both"/>
      </w:pPr>
      <w:r>
        <w:rPr>
          <w:rFonts w:ascii="Times New Roman" w:cs="Times New Roman" w:eastAsia="Times New Roman" w:hAnsi="Times New Roman"/>
          <w:color w:val="2E2E2E"/>
          <w:sz w:val="22"/>
          <w:szCs w:val="22"/>
        </w:rPr>
        <w:t xml:space="preserve">That conditional is doing the heavy lifting. Hydrogen refuelling infrastructure remains thin across most of Europe, and a fuel cell truck without a refuelling network is a demonstration project rather than a business.</w:t>
      </w:r>
    </w:p>
    <w:p>
      <w:pPr>
        <w:spacing w:after="120" w:before="0" w:line="300"/>
        <w:jc w:val="both"/>
      </w:pPr>
      <w:r>
        <w:rPr>
          <w:rFonts w:ascii="Times New Roman" w:cs="Times New Roman" w:eastAsia="Times New Roman" w:hAnsi="Times New Roman"/>
          <w:color w:val="2E2E2E"/>
          <w:sz w:val="22"/>
          <w:szCs w:val="22"/>
        </w:rPr>
        <w:t xml:space="preserve">European heavy-vehicle makers have pursued hydrogen with more persistence than their passenger-car counterparts, precisely because the physics of long-distance freight are less forgiving to batteries, which makes them a more natural market for Toyota's systems than European car buyers would be.</w:t>
      </w:r>
    </w:p>
    <w:p>
      <w:pPr>
        <w:spacing w:after="120" w:before="0" w:line="300"/>
        <w:jc w:val="both"/>
      </w:pPr>
      <w:r>
        <w:rPr>
          <w:rFonts w:ascii="Times New Roman" w:cs="Times New Roman" w:eastAsia="Times New Roman" w:hAnsi="Times New Roman"/>
          <w:color w:val="2E2E2E"/>
          <w:sz w:val="22"/>
          <w:szCs w:val="22"/>
        </w:rPr>
        <w:t xml:space="preserve">Supplying systems rather than selling complete vehicles is the commercially sensible structure here, letting Toyota monetise its fuel cell engineering without having to build a European truck brand or distribution network from nothing.</w:t>
      </w:r>
    </w:p>
    <w:p>
      <w:pPr>
        <w:spacing w:after="120" w:before="0" w:line="300"/>
        <w:jc w:val="both"/>
      </w:pPr>
      <w:r>
        <w:rPr>
          <w:rFonts w:ascii="Times New Roman" w:cs="Times New Roman" w:eastAsia="Times New Roman" w:hAnsi="Times New Roman"/>
          <w:color w:val="2E2E2E"/>
          <w:sz w:val="22"/>
          <w:szCs w:val="22"/>
        </w:rPr>
        <w:t xml:space="preserve">The expansion arrives while Toyota is simultaneously managing a delayed US-built electric vehicle programme and the currency pressure that a strengthening yen applies to all of its overseas earnings, making hydrogen one strand of a deliberately plural powertrain strategy rather than a single company bet.</w:t>
      </w:r>
    </w:p>
    <w:p>
      <w:pPr>
        <w:spacing w:after="120" w:before="0" w:line="300"/>
        <w:jc w:val="both"/>
      </w:pPr>
      <w:r>
        <w:rPr>
          <w:rFonts w:ascii="Times New Roman" w:cs="Times New Roman" w:eastAsia="Times New Roman" w:hAnsi="Times New Roman"/>
          <w:color w:val="2E2E2E"/>
          <w:sz w:val="22"/>
          <w:szCs w:val="22"/>
        </w:rPr>
        <w:t xml:space="preserve">Toyota introduced the Mirai fuel cell passenger car more than a decade ago and has continued developing the technology through a period in which battery electric vehicles captured most of the industry's investment and public attention.</w:t>
      </w:r>
    </w:p>
    <w:p>
      <w:pPr>
        <w:spacing w:after="120" w:before="0" w:line="300"/>
        <w:jc w:val="both"/>
      </w:pPr>
      <w:r>
        <w:rPr>
          <w:rFonts w:ascii="Times New Roman" w:cs="Times New Roman" w:eastAsia="Times New Roman" w:hAnsi="Times New Roman"/>
          <w:color w:val="2E2E2E"/>
          <w:sz w:val="22"/>
          <w:szCs w:val="22"/>
        </w:rPr>
        <w:t xml:space="preserve">The company's stated position has consistently been that no single powertrain suits every market and use case, a view that drew criticism when battery adoption accelerated and has looked more defensible as charging infrastructure constraints became apparent in heavy transport.</w:t>
      </w:r>
    </w:p>
    <w:p>
      <w:pPr>
        <w:spacing w:after="120" w:before="0" w:line="300"/>
        <w:jc w:val="both"/>
      </w:pPr>
      <w:r>
        <w:rPr>
          <w:rFonts w:ascii="Times New Roman" w:cs="Times New Roman" w:eastAsia="Times New Roman" w:hAnsi="Times New Roman"/>
          <w:color w:val="2E2E2E"/>
          <w:sz w:val="22"/>
          <w:szCs w:val="22"/>
        </w:rPr>
        <w:t xml:space="preserve">European regulation has pushed heavy vehicle manufacturers toward zero-emission targets that battery technology alone has struggled to meet for long-haul applications, creating a policy-driven opening for hydrogen that does not exist to the same degree elsewhere.</w:t>
      </w:r>
    </w:p>
    <w:p>
      <w:pPr>
        <w:spacing w:after="120" w:before="0" w:line="300"/>
        <w:jc w:val="both"/>
      </w:pPr>
      <w:r>
        <w:rPr>
          <w:rFonts w:ascii="Times New Roman" w:cs="Times New Roman" w:eastAsia="Times New Roman" w:hAnsi="Times New Roman"/>
          <w:color w:val="2E2E2E"/>
          <w:sz w:val="22"/>
          <w:szCs w:val="22"/>
        </w:rPr>
        <w:t xml:space="preserve">Hydrogen's own emissions profile depends entirely on how it is produced, with electrolysis powered by renewable generation delivering a genuinely low-carbon fuel and steam reforming of natural gas delivering considerably less.</w:t>
      </w:r>
    </w:p>
    <w:p>
      <w:pPr>
        <w:spacing w:after="120" w:before="0" w:line="300"/>
        <w:jc w:val="both"/>
      </w:pPr>
      <w:r>
        <w:rPr>
          <w:rFonts w:ascii="Times New Roman" w:cs="Times New Roman" w:eastAsia="Times New Roman" w:hAnsi="Times New Roman"/>
          <w:color w:val="2E2E2E"/>
          <w:sz w:val="22"/>
          <w:szCs w:val="22"/>
        </w:rPr>
        <w:t xml:space="preserve">Supplying systems to established European truck manufacturers lets Toyota participate without carrying the distribution and service burden that selling complete vehicles into that market would require.</w:t>
      </w:r>
    </w:p>
    <w:p>
      <w:pPr>
        <w:spacing w:after="200" w:before="40"/>
        <w:jc w:val="right"/>
      </w:pPr>
      <w:r>
        <w:rPr>
          <w:rFonts w:ascii="Helvetica" w:cs="Helvetica" w:eastAsia="Helvetica" w:hAnsi="Helvetica"/>
          <w:i/>
          <w:iCs/>
          <w:color w:val="888888"/>
          <w:sz w:val="16"/>
          <w:szCs w:val="16"/>
        </w:rPr>
        <w:t xml:space="preserve">[403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Hikari Tsushin Launches ¥270 Billion Tender Offer for Leopalace21</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Hikari Tsushin is moving to acquire Leopalace21 through a tender offer valued at approximately 270 billion yen, according to Kyodo News, a deal that would fold one of Japan's best-known rental apartment operators into a telecommunications and corporate services group.</w:t>
      </w:r>
    </w:p>
    <w:p>
      <w:pPr>
        <w:spacing w:after="120" w:before="0" w:line="300"/>
        <w:jc w:val="both"/>
      </w:pPr>
      <w:r>
        <w:rPr>
          <w:rFonts w:ascii="Times New Roman" w:cs="Times New Roman" w:eastAsia="Times New Roman" w:hAnsi="Times New Roman"/>
          <w:color w:val="2E2E2E"/>
          <w:sz w:val="22"/>
          <w:szCs w:val="22"/>
        </w:rPr>
        <w:t xml:space="preserve">Leopalace21 built its business on standardised rental apartments aimed at students, single workers and corporate housing contracts, a model that gave it enormous unit volume and, for a period, considerable reputational difficulty following construction defect findings that forced extensive remediation.</w:t>
      </w:r>
    </w:p>
    <w:p>
      <w:pPr>
        <w:spacing w:after="120" w:before="0" w:line="300"/>
        <w:jc w:val="both"/>
      </w:pPr>
      <w:r>
        <w:rPr>
          <w:rFonts w:ascii="Times New Roman" w:cs="Times New Roman" w:eastAsia="Times New Roman" w:hAnsi="Times New Roman"/>
          <w:color w:val="2E2E2E"/>
          <w:sz w:val="22"/>
          <w:szCs w:val="22"/>
        </w:rPr>
        <w:t xml:space="preserve">A tender offer at this scale signals confidence that the remediation chapter is closed enough to underwrite the valuation, or at least that the underlying property and tenant base is worth the residual risk.</w:t>
      </w:r>
    </w:p>
    <w:p>
      <w:pPr>
        <w:spacing w:after="120" w:before="0" w:line="300"/>
        <w:jc w:val="both"/>
      </w:pPr>
      <w:r>
        <w:rPr>
          <w:rFonts w:ascii="Times New Roman" w:cs="Times New Roman" w:eastAsia="Times New Roman" w:hAnsi="Times New Roman"/>
          <w:color w:val="2E2E2E"/>
          <w:sz w:val="22"/>
          <w:szCs w:val="22"/>
        </w:rPr>
        <w:t xml:space="preserve">Hikari Tsushin has assembled a diversified portfolio across telecommunications sales, insurance and corporate services, and has shown a consistent appetite for acquiring businesses with recurring revenue streams, which rental housing supplies almost by definition.</w:t>
      </w:r>
    </w:p>
    <w:p>
      <w:pPr>
        <w:spacing w:after="120" w:before="0" w:line="300"/>
        <w:jc w:val="both"/>
      </w:pPr>
      <w:r>
        <w:rPr>
          <w:rFonts w:ascii="Times New Roman" w:cs="Times New Roman" w:eastAsia="Times New Roman" w:hAnsi="Times New Roman"/>
          <w:color w:val="2E2E2E"/>
          <w:sz w:val="22"/>
          <w:szCs w:val="22"/>
        </w:rPr>
        <w:t xml:space="preserve">The deal lands in a property market where metropolitan values have been setting records while financing costs are about to rise, a combination that makes the timing either shrewd or expensive depending on where rates settle after this week.</w:t>
      </w:r>
    </w:p>
    <w:p>
      <w:pPr>
        <w:spacing w:after="120" w:before="0" w:line="300"/>
        <w:jc w:val="both"/>
      </w:pPr>
      <w:r>
        <w:rPr>
          <w:rFonts w:ascii="Times New Roman" w:cs="Times New Roman" w:eastAsia="Times New Roman" w:hAnsi="Times New Roman"/>
          <w:color w:val="2E2E2E"/>
          <w:sz w:val="22"/>
          <w:szCs w:val="22"/>
        </w:rPr>
        <w:t xml:space="preserve">Regulatory review and the tender process itself will determine the final outcome, with the offer price relative to Leopalace21's trading level the variable shareholders will weigh.</w:t>
      </w:r>
    </w:p>
    <w:p>
      <w:pPr>
        <w:spacing w:after="120" w:before="0" w:line="300"/>
        <w:jc w:val="both"/>
      </w:pPr>
      <w:r>
        <w:rPr>
          <w:rFonts w:ascii="Times New Roman" w:cs="Times New Roman" w:eastAsia="Times New Roman" w:hAnsi="Times New Roman"/>
          <w:color w:val="2E2E2E"/>
          <w:sz w:val="22"/>
          <w:szCs w:val="22"/>
        </w:rPr>
        <w:t xml:space="preserve">Leopalace21's construction defect findings, disclosed several years ago, concerned fire-resistance and sound-insulation specifications in a large number of properties and required a remediation programme that consumed substantial resources.</w:t>
      </w:r>
    </w:p>
    <w:p>
      <w:pPr>
        <w:spacing w:after="120" w:before="0" w:line="300"/>
        <w:jc w:val="both"/>
      </w:pPr>
      <w:r>
        <w:rPr>
          <w:rFonts w:ascii="Times New Roman" w:cs="Times New Roman" w:eastAsia="Times New Roman" w:hAnsi="Times New Roman"/>
          <w:color w:val="2E2E2E"/>
          <w:sz w:val="22"/>
          <w:szCs w:val="22"/>
        </w:rPr>
        <w:t xml:space="preserve">The episode damaged the company's occupancy and reputation simultaneously, since tenants in affected buildings required relocation and prospective tenants had reason for caution.</w:t>
      </w:r>
    </w:p>
    <w:p>
      <w:pPr>
        <w:spacing w:after="120" w:before="0" w:line="300"/>
        <w:jc w:val="both"/>
      </w:pPr>
      <w:r>
        <w:rPr>
          <w:rFonts w:ascii="Times New Roman" w:cs="Times New Roman" w:eastAsia="Times New Roman" w:hAnsi="Times New Roman"/>
          <w:color w:val="2E2E2E"/>
          <w:sz w:val="22"/>
          <w:szCs w:val="22"/>
        </w:rPr>
        <w:t xml:space="preserve">Recovery from a defect scandal in property is slower than in most sectors because the asset itself is the problem, and remediation must be completed building by building rather than announced centrally.</w:t>
      </w:r>
    </w:p>
    <w:p>
      <w:pPr>
        <w:spacing w:after="120" w:before="0" w:line="300"/>
        <w:jc w:val="both"/>
      </w:pPr>
      <w:r>
        <w:rPr>
          <w:rFonts w:ascii="Times New Roman" w:cs="Times New Roman" w:eastAsia="Times New Roman" w:hAnsi="Times New Roman"/>
          <w:color w:val="2E2E2E"/>
          <w:sz w:val="22"/>
          <w:szCs w:val="22"/>
        </w:rPr>
        <w:t xml:space="preserve">Hikari Tsushin's acquisition record has favoured businesses with contractual, recurring revenue, a profile that rental housing fits regardless of the operator's history.</w:t>
      </w:r>
    </w:p>
    <w:p>
      <w:pPr>
        <w:spacing w:after="120" w:before="0" w:line="300"/>
        <w:jc w:val="both"/>
      </w:pPr>
      <w:r>
        <w:rPr>
          <w:rFonts w:ascii="Times New Roman" w:cs="Times New Roman" w:eastAsia="Times New Roman" w:hAnsi="Times New Roman"/>
          <w:color w:val="2E2E2E"/>
          <w:sz w:val="22"/>
          <w:szCs w:val="22"/>
        </w:rPr>
        <w:t xml:space="preserve">Whether the tender succeeds depends on shareholders' assessment of the offer against their own view of the recovery's completeness, a judgment on which informed investors may reasonably differ.</w:t>
      </w:r>
    </w:p>
    <w:p>
      <w:pPr>
        <w:spacing w:after="200" w:before="40"/>
        <w:jc w:val="right"/>
      </w:pPr>
      <w:r>
        <w:rPr>
          <w:rFonts w:ascii="Helvetica" w:cs="Helvetica" w:eastAsia="Helvetica" w:hAnsi="Helvetica"/>
          <w:i/>
          <w:iCs/>
          <w:color w:val="888888"/>
          <w:sz w:val="16"/>
          <w:szCs w:val="16"/>
        </w:rPr>
        <w:t xml:space="preserve">[346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Docomo to Build More Than 10,000 5G Base Stations This Fiscal Year</w:t>
      </w:r>
    </w:p>
    <w:p>
      <w:pPr>
        <w:pBdr>
          <w:bottom w:val="single" w:color="CCCCCC" w:sz="4"/>
        </w:pBdr>
        <w:spacing w:after="120" w:before="40"/>
      </w:pPr>
      <w:r>
        <w:rPr>
          <w:rFonts w:ascii="Helvetica" w:cs="Helvetica" w:eastAsia="Helvetica" w:hAnsi="Helvetica"/>
          <w:i/>
          <w:iCs/>
          <w:color w:val="888888"/>
          <w:sz w:val="18"/>
          <w:szCs w:val="18"/>
        </w:rPr>
        <w:t xml:space="preserve">By Maya Suzuki | Science &amp; Innovation Desk</w:t>
      </w:r>
    </w:p>
    <w:p>
      <w:pPr>
        <w:spacing w:after="120" w:before="0" w:line="300"/>
        <w:jc w:val="both"/>
      </w:pPr>
      <w:r>
        <w:rPr>
          <w:rFonts w:ascii="Times New Roman" w:cs="Times New Roman" w:eastAsia="Times New Roman" w:hAnsi="Times New Roman"/>
          <w:color w:val="2E2E2E"/>
          <w:sz w:val="22"/>
          <w:szCs w:val="22"/>
        </w:rPr>
        <w:t xml:space="preserve">NTT Docomo plans to install more than 10,000 5G base stations within the current fiscal year, according to Sankei News, a build-out pace that reflects both competitive pressure among Japan's carriers and the persistent gap between 5G coverage claims and 5G performance as users actually experience it.</w:t>
      </w:r>
    </w:p>
    <w:p>
      <w:pPr>
        <w:spacing w:after="120" w:before="0" w:line="300"/>
        <w:jc w:val="both"/>
      </w:pPr>
      <w:r>
        <w:rPr>
          <w:rFonts w:ascii="Times New Roman" w:cs="Times New Roman" w:eastAsia="Times New Roman" w:hAnsi="Times New Roman"/>
          <w:color w:val="2E2E2E"/>
          <w:sz w:val="22"/>
          <w:szCs w:val="22"/>
        </w:rPr>
        <w:t xml:space="preserve">Base station density is the unglamorous determinant of whether a 5G network delivers what its marketing promises, since the higher frequencies that make 5G fast also travel shorter distances and penetrate buildings poorly.</w:t>
      </w:r>
    </w:p>
    <w:p>
      <w:pPr>
        <w:spacing w:after="120" w:before="0" w:line="300"/>
        <w:jc w:val="both"/>
      </w:pPr>
      <w:r>
        <w:rPr>
          <w:rFonts w:ascii="Times New Roman" w:cs="Times New Roman" w:eastAsia="Times New Roman" w:hAnsi="Times New Roman"/>
          <w:color w:val="2E2E2E"/>
          <w:sz w:val="22"/>
          <w:szCs w:val="22"/>
        </w:rPr>
        <w:t xml:space="preserve">Ten thousand stations in a single fiscal year represents substantial capital deployment at a moment when carriers are also being asked to fund data centre capacity and AI-adjacent infrastructure, making the allocation a statement of priorities.</w:t>
      </w:r>
    </w:p>
    <w:p>
      <w:pPr>
        <w:spacing w:after="120" w:before="0" w:line="300"/>
        <w:jc w:val="both"/>
      </w:pPr>
      <w:r>
        <w:rPr>
          <w:rFonts w:ascii="Times New Roman" w:cs="Times New Roman" w:eastAsia="Times New Roman" w:hAnsi="Times New Roman"/>
          <w:color w:val="2E2E2E"/>
          <w:sz w:val="22"/>
          <w:szCs w:val="22"/>
        </w:rPr>
        <w:t xml:space="preserve">Rural and regional coverage remains the harder part of the problem, where the economics of placing a base station against the population it serves are considerably less favourable than in dense urban corridors.</w:t>
      </w:r>
    </w:p>
    <w:p>
      <w:pPr>
        <w:spacing w:after="120" w:before="0" w:line="300"/>
        <w:jc w:val="both"/>
      </w:pPr>
      <w:r>
        <w:rPr>
          <w:rFonts w:ascii="Times New Roman" w:cs="Times New Roman" w:eastAsia="Times New Roman" w:hAnsi="Times New Roman"/>
          <w:color w:val="2E2E2E"/>
          <w:sz w:val="22"/>
          <w:szCs w:val="22"/>
        </w:rPr>
        <w:t xml:space="preserve">Japan's carriers have faced sustained government pressure on pricing in recent years, which squeezes the revenue available to fund exactly this kind of infrastructure investment, a tension the industry has raised repeatedly with regulators.</w:t>
      </w:r>
    </w:p>
    <w:p>
      <w:pPr>
        <w:spacing w:after="120" w:before="0" w:line="300"/>
        <w:jc w:val="both"/>
      </w:pPr>
      <w:r>
        <w:rPr>
          <w:rFonts w:ascii="Times New Roman" w:cs="Times New Roman" w:eastAsia="Times New Roman" w:hAnsi="Times New Roman"/>
          <w:color w:val="2E2E2E"/>
          <w:sz w:val="22"/>
          <w:szCs w:val="22"/>
        </w:rPr>
        <w:t xml:space="preserve">Enterprise and industrial applications, from factory automation to logistics tracking, are where carriers expect 5G's commercial return to materialise, making coverage in industrial areas as commercially consequential as consumer coverage in city centres.</w:t>
      </w:r>
    </w:p>
    <w:p>
      <w:pPr>
        <w:spacing w:after="120" w:before="0" w:line="300"/>
        <w:jc w:val="both"/>
      </w:pPr>
      <w:r>
        <w:rPr>
          <w:rFonts w:ascii="Times New Roman" w:cs="Times New Roman" w:eastAsia="Times New Roman" w:hAnsi="Times New Roman"/>
          <w:color w:val="2E2E2E"/>
          <w:sz w:val="22"/>
          <w:szCs w:val="22"/>
        </w:rPr>
        <w:t xml:space="preserve">Japan's mobile market is dominated by three established carriers alongside a more recent fourth entrant, a structure that has produced sustained competition on price and, less consistently, on coverage quality.</w:t>
      </w:r>
    </w:p>
    <w:p>
      <w:pPr>
        <w:spacing w:after="120" w:before="0" w:line="300"/>
        <w:jc w:val="both"/>
      </w:pPr>
      <w:r>
        <w:rPr>
          <w:rFonts w:ascii="Times New Roman" w:cs="Times New Roman" w:eastAsia="Times New Roman" w:hAnsi="Times New Roman"/>
          <w:color w:val="2E2E2E"/>
          <w:sz w:val="22"/>
          <w:szCs w:val="22"/>
        </w:rPr>
        <w:t xml:space="preserve">Government intervention on mobile pricing in recent years reduced consumer bills substantially while compressing the margins that fund network investment, a tension carriers have raised repeatedly in policy discussions.</w:t>
      </w:r>
    </w:p>
    <w:p>
      <w:pPr>
        <w:spacing w:after="120" w:before="0" w:line="300"/>
        <w:jc w:val="both"/>
      </w:pPr>
      <w:r>
        <w:rPr>
          <w:rFonts w:ascii="Times New Roman" w:cs="Times New Roman" w:eastAsia="Times New Roman" w:hAnsi="Times New Roman"/>
          <w:color w:val="2E2E2E"/>
          <w:sz w:val="22"/>
          <w:szCs w:val="22"/>
        </w:rPr>
        <w:t xml:space="preserve">The frequencies allocated for 5G in Japan include higher bands that deliver the advertised speeds but propagate poorly, requiring far denser base station deployment than earlier generations needed for equivalent coverage.</w:t>
      </w:r>
    </w:p>
    <w:p>
      <w:pPr>
        <w:spacing w:after="120" w:before="0" w:line="300"/>
        <w:jc w:val="both"/>
      </w:pPr>
      <w:r>
        <w:rPr>
          <w:rFonts w:ascii="Times New Roman" w:cs="Times New Roman" w:eastAsia="Times New Roman" w:hAnsi="Times New Roman"/>
          <w:color w:val="2E2E2E"/>
          <w:sz w:val="22"/>
          <w:szCs w:val="22"/>
        </w:rPr>
        <w:t xml:space="preserve">Many networks have relied on lower-band spectrum refarmed from earlier generations to claim broad 5G coverage, which delivers the label without the performance, a gap consumers have noticed.</w:t>
      </w:r>
    </w:p>
    <w:p>
      <w:pPr>
        <w:spacing w:after="120" w:before="0" w:line="300"/>
        <w:jc w:val="both"/>
      </w:pPr>
      <w:r>
        <w:rPr>
          <w:rFonts w:ascii="Times New Roman" w:cs="Times New Roman" w:eastAsia="Times New Roman" w:hAnsi="Times New Roman"/>
          <w:color w:val="2E2E2E"/>
          <w:sz w:val="22"/>
          <w:szCs w:val="22"/>
        </w:rPr>
        <w:t xml:space="preserve">Industrial applications in factories, ports and logistics facilities are where carriers expect the technology's commercial justification to emerge, since those use cases value the low latency that consumer applications rarely require.</w:t>
      </w:r>
    </w:p>
    <w:p>
      <w:pPr>
        <w:spacing w:after="200" w:before="40"/>
        <w:jc w:val="right"/>
      </w:pPr>
      <w:r>
        <w:rPr>
          <w:rFonts w:ascii="Helvetica" w:cs="Helvetica" w:eastAsia="Helvetica" w:hAnsi="Helvetica"/>
          <w:i/>
          <w:iCs/>
          <w:color w:val="888888"/>
          <w:sz w:val="16"/>
          <w:szCs w:val="16"/>
        </w:rPr>
        <w:t xml:space="preserve">[365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Saudi East-West Pipeline Repair Seen Taking Three to Five Weeks</w:t>
      </w:r>
    </w:p>
    <w:p>
      <w:pPr>
        <w:spacing w:after="40" w:before="40"/>
      </w:pPr>
      <w:r>
        <w:rPr>
          <w:rFonts w:ascii="Times New Roman" w:cs="Times New Roman" w:eastAsia="Times New Roman" w:hAnsi="Times New Roman"/>
          <w:i/>
          <w:iCs/>
          <w:color w:val="9B1B2A"/>
          <w:sz w:val="22"/>
          <w:szCs w:val="22"/>
        </w:rPr>
        <w:t xml:space="preserve">The timeline keeps supply disruption and elevated crude prices in place through much of October</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Restoration of Saudi Arabia's East-West pipeline is expected to take three to five weeks, according to Sankei News, leaving in place both the supply disruption and the elevated crude prices that have shaped market behaviour for weeks.</w:t>
      </w:r>
    </w:p>
    <w:p>
      <w:pPr>
        <w:spacing w:after="120" w:before="0" w:line="300"/>
        <w:jc w:val="both"/>
      </w:pPr>
      <w:r>
        <w:rPr>
          <w:rFonts w:ascii="Times New Roman" w:cs="Times New Roman" w:eastAsia="Times New Roman" w:hAnsi="Times New Roman"/>
          <w:color w:val="2E2E2E"/>
          <w:sz w:val="22"/>
          <w:szCs w:val="22"/>
        </w:rPr>
        <w:t xml:space="preserve">The East-West pipeline carries crude from Saudi Arabia's eastern oil fields to Red Sea terminals, and its function is strategic rather than merely logistical: it allows Saudi exports to reach market without transiting the Strait of Hormuz.</w:t>
      </w:r>
    </w:p>
    <w:p>
      <w:pPr>
        <w:spacing w:after="120" w:before="0" w:line="300"/>
        <w:jc w:val="both"/>
      </w:pPr>
      <w:r>
        <w:rPr>
          <w:rFonts w:ascii="Times New Roman" w:cs="Times New Roman" w:eastAsia="Times New Roman" w:hAnsi="Times New Roman"/>
          <w:color w:val="2E2E2E"/>
          <w:sz w:val="22"/>
          <w:szCs w:val="22"/>
        </w:rPr>
        <w:t xml:space="preserve">Removing that option, even temporarily, concentrates more of the Gulf's export capacity into exactly the chokepoint that has been most contested during the conflict, which is why a repair timeline measured in weeks translates directly into a sustained risk premium in the oil price.</w:t>
      </w:r>
    </w:p>
    <w:p>
      <w:pPr>
        <w:spacing w:after="120" w:before="0" w:line="300"/>
        <w:jc w:val="both"/>
      </w:pPr>
      <w:r>
        <w:rPr>
          <w:rFonts w:ascii="Times New Roman" w:cs="Times New Roman" w:eastAsia="Times New Roman" w:hAnsi="Times New Roman"/>
          <w:color w:val="2E2E2E"/>
          <w:sz w:val="22"/>
          <w:szCs w:val="22"/>
        </w:rPr>
        <w:t xml:space="preserve">For Japan, which imports the overwhelming majority of its crude from the Gulf, the pipeline's status is not an abstraction. It bears on utility fuel costs, on the producer price data the Bank of Japan weighs, and on household energy bills with a lag.</w:t>
      </w:r>
    </w:p>
    <w:p>
      <w:pPr>
        <w:spacing w:after="120" w:before="0" w:line="300"/>
        <w:jc w:val="both"/>
      </w:pPr>
      <w:r>
        <w:rPr>
          <w:rFonts w:ascii="Times New Roman" w:cs="Times New Roman" w:eastAsia="Times New Roman" w:hAnsi="Times New Roman"/>
          <w:color w:val="2E2E2E"/>
          <w:sz w:val="22"/>
          <w:szCs w:val="22"/>
        </w:rPr>
        <w:t xml:space="preserve">A three-to-five week window places restoration somewhere in October, assuming no complications, and assumes conditions permit repair work to proceed uninterrupted.</w:t>
      </w:r>
    </w:p>
    <w:p>
      <w:pPr>
        <w:spacing w:after="120" w:before="0" w:line="300"/>
        <w:jc w:val="both"/>
      </w:pPr>
      <w:r>
        <w:rPr>
          <w:rFonts w:ascii="Times New Roman" w:cs="Times New Roman" w:eastAsia="Times New Roman" w:hAnsi="Times New Roman"/>
          <w:color w:val="2E2E2E"/>
          <w:sz w:val="22"/>
          <w:szCs w:val="22"/>
        </w:rPr>
        <w:t xml:space="preserve">Crude has held above $100 a barrel through the disruption, with some reports placing it briefly in the $104 range, levels that feed directly into the inflation picture both the Federal Reserve and the Bank of Japan are assessing this week.</w:t>
      </w:r>
    </w:p>
    <w:p>
      <w:pPr>
        <w:spacing w:after="120" w:before="0" w:line="300"/>
        <w:jc w:val="both"/>
      </w:pPr>
      <w:r>
        <w:rPr>
          <w:rFonts w:ascii="Times New Roman" w:cs="Times New Roman" w:eastAsia="Times New Roman" w:hAnsi="Times New Roman"/>
          <w:color w:val="2E2E2E"/>
          <w:sz w:val="22"/>
          <w:szCs w:val="22"/>
        </w:rPr>
        <w:t xml:space="preserve">Today's cartoon addresses the broader chokepoint question directly, and the editorial page takes up the argument at length.</w:t>
      </w:r>
    </w:p>
    <w:p>
      <w:pPr>
        <w:spacing w:after="120" w:before="0" w:line="300"/>
        <w:jc w:val="both"/>
      </w:pPr>
      <w:r>
        <w:rPr>
          <w:rFonts w:ascii="Times New Roman" w:cs="Times New Roman" w:eastAsia="Times New Roman" w:hAnsi="Times New Roman"/>
          <w:color w:val="2E2E2E"/>
          <w:sz w:val="22"/>
          <w:szCs w:val="22"/>
        </w:rPr>
        <w:t xml:space="preserve">The East-West pipeline runs roughly 1,200 kilometres across the Arabian peninsula and was built precisely to give Saudi exports an outlet that does not depend on the Gulf's maritime chokepoint.</w:t>
      </w:r>
    </w:p>
    <w:p>
      <w:pPr>
        <w:spacing w:after="120" w:before="0" w:line="300"/>
        <w:jc w:val="both"/>
      </w:pPr>
      <w:r>
        <w:rPr>
          <w:rFonts w:ascii="Times New Roman" w:cs="Times New Roman" w:eastAsia="Times New Roman" w:hAnsi="Times New Roman"/>
          <w:color w:val="2E2E2E"/>
          <w:sz w:val="22"/>
          <w:szCs w:val="22"/>
        </w:rPr>
        <w:t xml:space="preserve">Its capacity is substantial but does not match the volume that normally transits Hormuz, which means the bypass reduces rather than eliminates exposure to the strait even when fully operational.</w:t>
      </w:r>
    </w:p>
    <w:p>
      <w:pPr>
        <w:spacing w:after="120" w:before="0" w:line="300"/>
        <w:jc w:val="both"/>
      </w:pPr>
      <w:r>
        <w:rPr>
          <w:rFonts w:ascii="Times New Roman" w:cs="Times New Roman" w:eastAsia="Times New Roman" w:hAnsi="Times New Roman"/>
          <w:color w:val="2E2E2E"/>
          <w:sz w:val="22"/>
          <w:szCs w:val="22"/>
        </w:rPr>
        <w:t xml:space="preserve">Repair timelines on infrastructure of this kind depend on the nature of the damage, the availability of specialised equipment and the security conditions under which crews must work.</w:t>
      </w:r>
    </w:p>
    <w:p>
      <w:pPr>
        <w:spacing w:after="120" w:before="0" w:line="300"/>
        <w:jc w:val="both"/>
      </w:pPr>
      <w:r>
        <w:rPr>
          <w:rFonts w:ascii="Times New Roman" w:cs="Times New Roman" w:eastAsia="Times New Roman" w:hAnsi="Times New Roman"/>
          <w:color w:val="2E2E2E"/>
          <w:sz w:val="22"/>
          <w:szCs w:val="22"/>
        </w:rPr>
        <w:t xml:space="preserve">Oil markets price expected supply rather than current supply, which is why a stated repair window translates immediately into the forward curve rather than waiting for the physical restoration.</w:t>
      </w:r>
    </w:p>
    <w:p>
      <w:pPr>
        <w:spacing w:after="120" w:before="0" w:line="300"/>
        <w:jc w:val="both"/>
      </w:pPr>
      <w:r>
        <w:rPr>
          <w:rFonts w:ascii="Times New Roman" w:cs="Times New Roman" w:eastAsia="Times New Roman" w:hAnsi="Times New Roman"/>
          <w:color w:val="2E2E2E"/>
          <w:sz w:val="22"/>
          <w:szCs w:val="22"/>
        </w:rPr>
        <w:t xml:space="preserve">Japan maintains strategic petroleum reserves held by both government and industry, sufficient for a period of supply interruption, though reserves address availability rather than price.</w:t>
      </w:r>
    </w:p>
    <w:p>
      <w:pPr>
        <w:spacing w:after="120" w:before="0" w:line="300"/>
        <w:jc w:val="both"/>
      </w:pPr>
      <w:r>
        <w:rPr>
          <w:rFonts w:ascii="Times New Roman" w:cs="Times New Roman" w:eastAsia="Times New Roman" w:hAnsi="Times New Roman"/>
          <w:color w:val="2E2E2E"/>
          <w:sz w:val="22"/>
          <w:szCs w:val="22"/>
        </w:rPr>
        <w:t xml:space="preserve">Saudi Arabia has historically maintained spare production capacity used to stabilise markets during disruptions, a buffer that addresses volume but not the routing constraint a pipeline outage creates.</w:t>
      </w:r>
    </w:p>
    <w:p>
      <w:pPr>
        <w:spacing w:after="120" w:before="0" w:line="300"/>
        <w:jc w:val="both"/>
      </w:pPr>
      <w:r>
        <w:rPr>
          <w:rFonts w:ascii="Times New Roman" w:cs="Times New Roman" w:eastAsia="Times New Roman" w:hAnsi="Times New Roman"/>
          <w:color w:val="2E2E2E"/>
          <w:sz w:val="22"/>
          <w:szCs w:val="22"/>
        </w:rPr>
        <w:t xml:space="preserve">Japan's crude imports come predominantly from Gulf producers, a concentration that has proved resistant to diversification efforts because the alternatives are either more expensive or more distant.</w:t>
      </w:r>
    </w:p>
    <w:p>
      <w:pPr>
        <w:spacing w:after="120" w:before="0" w:line="300"/>
        <w:jc w:val="both"/>
      </w:pPr>
      <w:r>
        <w:rPr>
          <w:rFonts w:ascii="Times New Roman" w:cs="Times New Roman" w:eastAsia="Times New Roman" w:hAnsi="Times New Roman"/>
          <w:color w:val="2E2E2E"/>
          <w:sz w:val="22"/>
          <w:szCs w:val="22"/>
        </w:rPr>
        <w:t xml:space="preserve">Refiners plan cargo schedules weeks ahead, which means routing disruptions announced now affect deliveries that will arrive well into the autumn.</w:t>
      </w:r>
    </w:p>
    <w:p>
      <w:pPr>
        <w:spacing w:after="200" w:before="40"/>
        <w:jc w:val="right"/>
      </w:pPr>
      <w:r>
        <w:rPr>
          <w:rFonts w:ascii="Helvetica" w:cs="Helvetica" w:eastAsia="Helvetica" w:hAnsi="Helvetica"/>
          <w:i/>
          <w:iCs/>
          <w:color w:val="888888"/>
          <w:sz w:val="16"/>
          <w:szCs w:val="16"/>
        </w:rPr>
        <w:t xml:space="preserve">[460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Utility Shares and Power Prices Face a Longer Nuclear Wait</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Chubu Electric Power's withdrawal of its Hamaoka restart application pushes the prospect of restarting nuclear plants further into the future and, with it, the electricity price reductions restarts were expected to permit, according to Yomiuri Shimbun and Asahi Shimbun.</w:t>
      </w:r>
    </w:p>
    <w:p>
      <w:pPr>
        <w:spacing w:after="120" w:before="0" w:line="300"/>
        <w:jc w:val="both"/>
      </w:pPr>
      <w:r>
        <w:rPr>
          <w:rFonts w:ascii="Times New Roman" w:cs="Times New Roman" w:eastAsia="Times New Roman" w:hAnsi="Times New Roman"/>
          <w:color w:val="2E2E2E"/>
          <w:sz w:val="22"/>
          <w:szCs w:val="22"/>
        </w:rPr>
        <w:t xml:space="preserve">The commercial arithmetic behind a restart is straightforward. A running reactor displaces imported fossil fuel, and with crude above $100 a barrel, every month a reactor stays idle is a month of purchasing energy at prices set by a conflict on the other side of Asia.</w:t>
      </w:r>
    </w:p>
    <w:p>
      <w:pPr>
        <w:spacing w:after="120" w:before="0" w:line="300"/>
        <w:jc w:val="both"/>
      </w:pPr>
      <w:r>
        <w:rPr>
          <w:rFonts w:ascii="Times New Roman" w:cs="Times New Roman" w:eastAsia="Times New Roman" w:hAnsi="Times New Roman"/>
          <w:color w:val="2E2E2E"/>
          <w:sz w:val="22"/>
          <w:szCs w:val="22"/>
        </w:rPr>
        <w:t xml:space="preserve">The scandal's reach beyond Chubu Electric lies in what it does to regulatory posture. A confirmed falsification case gives the Nuclear Regulation Authority fresh reason to scrutinise every submission from every utility, which tends to slow the entire national restart programme rather than only the offending company's.</w:t>
      </w:r>
    </w:p>
    <w:p>
      <w:pPr>
        <w:spacing w:after="120" w:before="0" w:line="300"/>
        <w:jc w:val="both"/>
      </w:pPr>
      <w:r>
        <w:rPr>
          <w:rFonts w:ascii="Times New Roman" w:cs="Times New Roman" w:eastAsia="Times New Roman" w:hAnsi="Times New Roman"/>
          <w:color w:val="2E2E2E"/>
          <w:sz w:val="22"/>
          <w:szCs w:val="22"/>
        </w:rPr>
        <w:t xml:space="preserve">Utilities with restart applications in progress now face review conducted in a climate less inclined to extend the benefit of the doubt, an intangible cost that will not appear in any filing but will show up in timelines.</w:t>
      </w:r>
    </w:p>
    <w:p>
      <w:pPr>
        <w:spacing w:after="120" w:before="0" w:line="300"/>
        <w:jc w:val="both"/>
      </w:pPr>
      <w:r>
        <w:rPr>
          <w:rFonts w:ascii="Times New Roman" w:cs="Times New Roman" w:eastAsia="Times New Roman" w:hAnsi="Times New Roman"/>
          <w:color w:val="2E2E2E"/>
          <w:sz w:val="22"/>
          <w:szCs w:val="22"/>
        </w:rPr>
        <w:t xml:space="preserve">Investors in the sector have long treated restart timelines as the central variable in utility valuation, since the difference between a running reactor and an idle one dominates most other line items on the income statement.</w:t>
      </w:r>
    </w:p>
    <w:p>
      <w:pPr>
        <w:spacing w:after="120" w:before="0" w:line="300"/>
        <w:jc w:val="both"/>
      </w:pPr>
      <w:r>
        <w:rPr>
          <w:rFonts w:ascii="Times New Roman" w:cs="Times New Roman" w:eastAsia="Times New Roman" w:hAnsi="Times New Roman"/>
          <w:color w:val="2E2E2E"/>
          <w:sz w:val="22"/>
          <w:szCs w:val="22"/>
        </w:rPr>
        <w:t xml:space="preserve">Households ultimately sit at the end of this chain, paying through electricity tariffs for fuel purchased at conflict-inflated prices, which is how a data falsification scandal at one company becomes a cost-of-living story for everyone else.</w:t>
      </w:r>
    </w:p>
    <w:p>
      <w:pPr>
        <w:spacing w:after="120" w:before="0" w:line="300"/>
        <w:jc w:val="both"/>
      </w:pPr>
      <w:r>
        <w:rPr>
          <w:rFonts w:ascii="Times New Roman" w:cs="Times New Roman" w:eastAsia="Times New Roman" w:hAnsi="Times New Roman"/>
          <w:color w:val="2E2E2E"/>
          <w:sz w:val="22"/>
          <w:szCs w:val="22"/>
        </w:rPr>
        <w:t xml:space="preserve">Japan's nuclear fleet has restarted slowly since 2011, with a limited number of reactors returning to service under the post-accident regulatory framework and many others still working through review or facing local consent difficulties.</w:t>
      </w:r>
    </w:p>
    <w:p>
      <w:pPr>
        <w:spacing w:after="120" w:before="0" w:line="300"/>
        <w:jc w:val="both"/>
      </w:pPr>
      <w:r>
        <w:rPr>
          <w:rFonts w:ascii="Times New Roman" w:cs="Times New Roman" w:eastAsia="Times New Roman" w:hAnsi="Times New Roman"/>
          <w:color w:val="2E2E2E"/>
          <w:sz w:val="22"/>
          <w:szCs w:val="22"/>
        </w:rPr>
        <w:t xml:space="preserve">Local consent is a distinct hurdle from regulatory approval, requiring agreement from host municipalities and prefectures whose political calculations are their own, and a falsification case supplies opponents with a concrete argument.</w:t>
      </w:r>
    </w:p>
    <w:p>
      <w:pPr>
        <w:spacing w:after="120" w:before="0" w:line="300"/>
        <w:jc w:val="both"/>
      </w:pPr>
      <w:r>
        <w:rPr>
          <w:rFonts w:ascii="Times New Roman" w:cs="Times New Roman" w:eastAsia="Times New Roman" w:hAnsi="Times New Roman"/>
          <w:color w:val="2E2E2E"/>
          <w:sz w:val="22"/>
          <w:szCs w:val="22"/>
        </w:rPr>
        <w:t xml:space="preserve">Utility balance sheets carry idle reactors as assets generating no revenue while continuing to incur maintenance and security costs, which is why restart timelines dominate the sector's valuation.</w:t>
      </w:r>
    </w:p>
    <w:p>
      <w:pPr>
        <w:spacing w:after="120" w:before="0" w:line="300"/>
        <w:jc w:val="both"/>
      </w:pPr>
      <w:r>
        <w:rPr>
          <w:rFonts w:ascii="Times New Roman" w:cs="Times New Roman" w:eastAsia="Times New Roman" w:hAnsi="Times New Roman"/>
          <w:color w:val="2E2E2E"/>
          <w:sz w:val="22"/>
          <w:szCs w:val="22"/>
        </w:rPr>
        <w:t xml:space="preserve">Chubu Electric serves a region including Nagoya and the surrounding industrial base, one of Japan's most energy-intensive manufacturing concentrations, which gives its generation mix consequences for industrial competitiveness.</w:t>
      </w:r>
    </w:p>
    <w:p>
      <w:pPr>
        <w:spacing w:after="120" w:before="0" w:line="300"/>
        <w:jc w:val="both"/>
      </w:pPr>
      <w:r>
        <w:rPr>
          <w:rFonts w:ascii="Times New Roman" w:cs="Times New Roman" w:eastAsia="Times New Roman" w:hAnsi="Times New Roman"/>
          <w:color w:val="2E2E2E"/>
          <w:sz w:val="22"/>
          <w:szCs w:val="22"/>
        </w:rPr>
        <w:t xml:space="preserve">Rebuilding regulatory confidence after a data integrity failure typically requires demonstrating new internal controls over an extended period rather than simply resubmitting corrected figures.</w:t>
      </w:r>
    </w:p>
    <w:p>
      <w:pPr>
        <w:spacing w:after="120" w:before="0" w:line="300"/>
        <w:jc w:val="both"/>
      </w:pPr>
      <w:r>
        <w:rPr>
          <w:rFonts w:ascii="Times New Roman" w:cs="Times New Roman" w:eastAsia="Times New Roman" w:hAnsi="Times New Roman"/>
          <w:color w:val="2E2E2E"/>
          <w:sz w:val="22"/>
          <w:szCs w:val="22"/>
        </w:rPr>
        <w:t xml:space="preserve">Electricity retail in Japan was liberalised in stages, and utilities now compete for customers while continuing to own the generation assets whose costs determine what they can charge.</w:t>
      </w:r>
    </w:p>
    <w:p>
      <w:pPr>
        <w:spacing w:after="120" w:before="0" w:line="300"/>
        <w:jc w:val="both"/>
      </w:pPr>
      <w:r>
        <w:rPr>
          <w:rFonts w:ascii="Times New Roman" w:cs="Times New Roman" w:eastAsia="Times New Roman" w:hAnsi="Times New Roman"/>
          <w:color w:val="2E2E2E"/>
          <w:sz w:val="22"/>
          <w:szCs w:val="22"/>
        </w:rPr>
        <w:t xml:space="preserve">That structure means a utility carrying idle nuclear capacity competes against suppliers without the same fixed-cost burden, which sharpens the commercial consequence of a delayed restart.</w:t>
      </w:r>
    </w:p>
    <w:p>
      <w:pPr>
        <w:spacing w:after="120" w:before="0" w:line="300"/>
        <w:jc w:val="both"/>
      </w:pPr>
      <w:r>
        <w:rPr>
          <w:rFonts w:ascii="Times New Roman" w:cs="Times New Roman" w:eastAsia="Times New Roman" w:hAnsi="Times New Roman"/>
          <w:color w:val="2E2E2E"/>
          <w:sz w:val="22"/>
          <w:szCs w:val="22"/>
        </w:rPr>
        <w:t xml:space="preserve">Industrial customers with large loads negotiate supply individually, and energy-intensive manufacturers in Chubu Electric's service area will be watching the company's cost trajectory closely.</w:t>
      </w:r>
    </w:p>
    <w:p>
      <w:pPr>
        <w:spacing w:after="200" w:before="40"/>
        <w:jc w:val="right"/>
      </w:pPr>
      <w:r>
        <w:rPr>
          <w:rFonts w:ascii="Helvetica" w:cs="Helvetica" w:eastAsia="Helvetica" w:hAnsi="Helvetica"/>
          <w:i/>
          <w:iCs/>
          <w:color w:val="888888"/>
          <w:sz w:val="16"/>
          <w:szCs w:val="16"/>
        </w:rPr>
        <w:t xml:space="preserve">[466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OpenAI IPO Postponement Removes an Anticipated Catalyst for AI Valuations</w:t>
      </w:r>
    </w:p>
    <w:p>
      <w:pPr>
        <w:pBdr>
          <w:bottom w:val="single" w:color="CCCCCC" w:sz="4"/>
        </w:pBdr>
        <w:spacing w:after="120" w:before="40"/>
      </w:pPr>
      <w:r>
        <w:rPr>
          <w:rFonts w:ascii="Helvetica" w:cs="Helvetica" w:eastAsia="Helvetica" w:hAnsi="Helvetica"/>
          <w:i/>
          <w:iCs/>
          <w:color w:val="888888"/>
          <w:sz w:val="18"/>
          <w:szCs w:val="18"/>
        </w:rPr>
        <w:t xml:space="preserve">By Ethan Cole | Technology and Science Editor</w:t>
      </w:r>
    </w:p>
    <w:p>
      <w:pPr>
        <w:spacing w:after="120" w:before="0" w:line="300"/>
        <w:jc w:val="both"/>
      </w:pPr>
      <w:r>
        <w:rPr>
          <w:rFonts w:ascii="Times New Roman" w:cs="Times New Roman" w:eastAsia="Times New Roman" w:hAnsi="Times New Roman"/>
          <w:color w:val="2E2E2E"/>
          <w:sz w:val="22"/>
          <w:szCs w:val="22"/>
        </w:rPr>
        <w:t xml:space="preserve">Reports that OpenAI will postpone its initial public offering this year contributed to Monday's decline in AI and semiconductor shares in Tokyo, according to Reuters and FISCO, removing an event that a good deal of sector positioning had been built around.</w:t>
      </w:r>
    </w:p>
    <w:p>
      <w:pPr>
        <w:spacing w:after="120" w:before="0" w:line="300"/>
        <w:jc w:val="both"/>
      </w:pPr>
      <w:r>
        <w:rPr>
          <w:rFonts w:ascii="Times New Roman" w:cs="Times New Roman" w:eastAsia="Times New Roman" w:hAnsi="Times New Roman"/>
          <w:color w:val="2E2E2E"/>
          <w:sz w:val="22"/>
          <w:szCs w:val="22"/>
        </w:rPr>
        <w:t xml:space="preserve">A high-profile listing functions as a price discovery event for an entire sector, establishing a public valuation that investors then apply, with adjustments, to comparable private and listed companies. Postponing it defers that anchor indefinitely.</w:t>
      </w:r>
    </w:p>
    <w:p>
      <w:pPr>
        <w:spacing w:after="120" w:before="0" w:line="300"/>
        <w:jc w:val="both"/>
      </w:pPr>
      <w:r>
        <w:rPr>
          <w:rFonts w:ascii="Times New Roman" w:cs="Times New Roman" w:eastAsia="Times New Roman" w:hAnsi="Times New Roman"/>
          <w:color w:val="2E2E2E"/>
          <w:sz w:val="22"/>
          <w:szCs w:val="22"/>
        </w:rPr>
        <w:t xml:space="preserve">For Japanese investors the connection is concrete rather than sentimental. SoftBank Group's exposure to the AI investment complex is substantial enough that the shares fell more than 10% at one point Monday, and semiconductor equipment makers supply the hardware that AI capital expenditure ultimately buys.</w:t>
      </w:r>
    </w:p>
    <w:p>
      <w:pPr>
        <w:spacing w:after="120" w:before="0" w:line="300"/>
        <w:jc w:val="both"/>
      </w:pPr>
      <w:r>
        <w:rPr>
          <w:rFonts w:ascii="Times New Roman" w:cs="Times New Roman" w:eastAsia="Times New Roman" w:hAnsi="Times New Roman"/>
          <w:color w:val="2E2E2E"/>
          <w:sz w:val="22"/>
          <w:szCs w:val="22"/>
        </w:rPr>
        <w:t xml:space="preserve">Postponement is not the same as cancellation, and companies delay listings for reasons ranging from market conditions to internal readiness, none of which necessarily says anything about the underlying business.</w:t>
      </w:r>
    </w:p>
    <w:p>
      <w:pPr>
        <w:spacing w:after="120" w:before="0" w:line="300"/>
        <w:jc w:val="both"/>
      </w:pPr>
      <w:r>
        <w:rPr>
          <w:rFonts w:ascii="Times New Roman" w:cs="Times New Roman" w:eastAsia="Times New Roman" w:hAnsi="Times New Roman"/>
          <w:color w:val="2E2E2E"/>
          <w:sz w:val="22"/>
          <w:szCs w:val="22"/>
        </w:rPr>
        <w:t xml:space="preserve">The market's reaction says more about how tightly wound sector positioning had become than about OpenAI's own prospects, which is often the case when a single scheduling decision moves a sector this sharply.</w:t>
      </w:r>
    </w:p>
    <w:p>
      <w:pPr>
        <w:spacing w:after="120" w:before="0" w:line="300"/>
        <w:jc w:val="both"/>
      </w:pPr>
      <w:r>
        <w:rPr>
          <w:rFonts w:ascii="Times New Roman" w:cs="Times New Roman" w:eastAsia="Times New Roman" w:hAnsi="Times New Roman"/>
          <w:color w:val="2E2E2E"/>
          <w:sz w:val="22"/>
          <w:szCs w:val="22"/>
        </w:rPr>
        <w:t xml:space="preserve">The postponement arrived alongside the AI-slowdown call from Anthropic's chief executive, and the combination of the two on the same day gave investors two independent reasons to reduce exposure at once.</w:t>
      </w:r>
    </w:p>
    <w:p>
      <w:pPr>
        <w:spacing w:after="120" w:before="0" w:line="300"/>
        <w:jc w:val="both"/>
      </w:pPr>
      <w:r>
        <w:rPr>
          <w:rFonts w:ascii="Times New Roman" w:cs="Times New Roman" w:eastAsia="Times New Roman" w:hAnsi="Times New Roman"/>
          <w:color w:val="2E2E2E"/>
          <w:sz w:val="22"/>
          <w:szCs w:val="22"/>
        </w:rPr>
        <w:t xml:space="preserve">Private technology valuations are established through funding rounds rather than continuous trading, which means they update infrequently and can drift from what public markets would pay.</w:t>
      </w:r>
    </w:p>
    <w:p>
      <w:pPr>
        <w:spacing w:after="120" w:before="0" w:line="300"/>
        <w:jc w:val="both"/>
      </w:pPr>
      <w:r>
        <w:rPr>
          <w:rFonts w:ascii="Times New Roman" w:cs="Times New Roman" w:eastAsia="Times New Roman" w:hAnsi="Times New Roman"/>
          <w:color w:val="2E2E2E"/>
          <w:sz w:val="22"/>
          <w:szCs w:val="22"/>
        </w:rPr>
        <w:t xml:space="preserve">A major listing resolves that ambiguity for an entire category, which is why anticipated offerings attract attention from investors holding no intention of participating directly.</w:t>
      </w:r>
    </w:p>
    <w:p>
      <w:pPr>
        <w:spacing w:after="120" w:before="0" w:line="300"/>
        <w:jc w:val="both"/>
      </w:pPr>
      <w:r>
        <w:rPr>
          <w:rFonts w:ascii="Times New Roman" w:cs="Times New Roman" w:eastAsia="Times New Roman" w:hAnsi="Times New Roman"/>
          <w:color w:val="2E2E2E"/>
          <w:sz w:val="22"/>
          <w:szCs w:val="22"/>
        </w:rPr>
        <w:t xml:space="preserve">Japanese exposure to the AI investment cycle runs through several channels, including SoftBank Group's portfolio, semiconductor equipment makers supplying fabrication capacity, and the materials companies further up the chain.</w:t>
      </w:r>
    </w:p>
    <w:p>
      <w:pPr>
        <w:spacing w:after="120" w:before="0" w:line="300"/>
        <w:jc w:val="both"/>
      </w:pPr>
      <w:r>
        <w:rPr>
          <w:rFonts w:ascii="Times New Roman" w:cs="Times New Roman" w:eastAsia="Times New Roman" w:hAnsi="Times New Roman"/>
          <w:color w:val="2E2E2E"/>
          <w:sz w:val="22"/>
          <w:szCs w:val="22"/>
        </w:rPr>
        <w:t xml:space="preserve">Postponements are common and carry no necessary implication about a company's prospects, with market conditions, regulatory timing and internal readiness all supplying ordinary reasons.</w:t>
      </w:r>
    </w:p>
    <w:p>
      <w:pPr>
        <w:spacing w:after="120" w:before="0" w:line="300"/>
        <w:jc w:val="both"/>
      </w:pPr>
      <w:r>
        <w:rPr>
          <w:rFonts w:ascii="Times New Roman" w:cs="Times New Roman" w:eastAsia="Times New Roman" w:hAnsi="Times New Roman"/>
          <w:color w:val="2E2E2E"/>
          <w:sz w:val="22"/>
          <w:szCs w:val="22"/>
        </w:rPr>
        <w:t xml:space="preserve">The market's reaction nonetheless reveals how much positioning had accumulated around a single anticipated event, which is itself information about the sector's current fragility.</w:t>
      </w:r>
    </w:p>
    <w:p>
      <w:pPr>
        <w:spacing w:after="200" w:before="40"/>
        <w:jc w:val="right"/>
      </w:pPr>
      <w:r>
        <w:rPr>
          <w:rFonts w:ascii="Helvetica" w:cs="Helvetica" w:eastAsia="Helvetica" w:hAnsi="Helvetica"/>
          <w:i/>
          <w:iCs/>
          <w:color w:val="888888"/>
          <w:sz w:val="16"/>
          <w:szCs w:val="16"/>
        </w:rPr>
        <w:t xml:space="preserve">[343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Chip Equipment Makers Bear the Brunt of the AI Selloff</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Advantest fell more than 4% and Tokyo Electron also declined on Monday as AI and semiconductor shares led the Nikkei's fall, according to Reuters and FISCO, concentrating the session's damage in a sector that had led the index higher for much of the year.</w:t>
      </w:r>
    </w:p>
    <w:p>
      <w:pPr>
        <w:spacing w:after="120" w:before="0" w:line="300"/>
        <w:jc w:val="both"/>
      </w:pPr>
      <w:r>
        <w:rPr>
          <w:rFonts w:ascii="Times New Roman" w:cs="Times New Roman" w:eastAsia="Times New Roman" w:hAnsi="Times New Roman"/>
          <w:color w:val="2E2E2E"/>
          <w:sz w:val="22"/>
          <w:szCs w:val="22"/>
        </w:rPr>
        <w:t xml:space="preserve">Equipment makers occupy a particular position in the AI trade. They do not sell AI services, but they supply the machinery that fabricates the chips on which AI capital expenditure ultimately depends, which makes their shares a leveraged bet on the durability of that spending.</w:t>
      </w:r>
    </w:p>
    <w:p>
      <w:pPr>
        <w:spacing w:after="120" w:before="0" w:line="300"/>
        <w:jc w:val="both"/>
      </w:pPr>
      <w:r>
        <w:rPr>
          <w:rFonts w:ascii="Times New Roman" w:cs="Times New Roman" w:eastAsia="Times New Roman" w:hAnsi="Times New Roman"/>
          <w:color w:val="2E2E2E"/>
          <w:sz w:val="22"/>
          <w:szCs w:val="22"/>
        </w:rPr>
        <w:t xml:space="preserve">That leverage cuts in both directions, and Monday demonstrated the downward version. Two pieces of news that questioned the AI investment cycle's pace, an IPO postponement and a slowdown call from a frontier laboratory, were sufficient to move the sector hard.</w:t>
      </w:r>
    </w:p>
    <w:p>
      <w:pPr>
        <w:spacing w:after="120" w:before="0" w:line="300"/>
        <w:jc w:val="both"/>
      </w:pPr>
      <w:r>
        <w:rPr>
          <w:rFonts w:ascii="Times New Roman" w:cs="Times New Roman" w:eastAsia="Times New Roman" w:hAnsi="Times New Roman"/>
          <w:color w:val="2E2E2E"/>
          <w:sz w:val="22"/>
          <w:szCs w:val="22"/>
        </w:rPr>
        <w:t xml:space="preserve">Underlying demand indicators have not deteriorated correspondingly. Data centre construction continues, domestic fabrication investment proceeds, and the order books that determine equipment makers' revenue operate on cycles considerably longer than a single trading session.</w:t>
      </w:r>
    </w:p>
    <w:p>
      <w:pPr>
        <w:spacing w:after="120" w:before="0" w:line="300"/>
        <w:jc w:val="both"/>
      </w:pPr>
      <w:r>
        <w:rPr>
          <w:rFonts w:ascii="Times New Roman" w:cs="Times New Roman" w:eastAsia="Times New Roman" w:hAnsi="Times New Roman"/>
          <w:color w:val="2E2E2E"/>
          <w:sz w:val="22"/>
          <w:szCs w:val="22"/>
        </w:rPr>
        <w:t xml:space="preserve">The gap between share price movement and order book reality is the argument the sector's defenders make after days like Monday, and it is a reasonable one, though it has been made before at levels that subsequently proved optimistic.</w:t>
      </w:r>
    </w:p>
    <w:p>
      <w:pPr>
        <w:spacing w:after="120" w:before="0" w:line="300"/>
        <w:jc w:val="both"/>
      </w:pPr>
      <w:r>
        <w:rPr>
          <w:rFonts w:ascii="Times New Roman" w:cs="Times New Roman" w:eastAsia="Times New Roman" w:hAnsi="Times New Roman"/>
          <w:color w:val="2E2E2E"/>
          <w:sz w:val="22"/>
          <w:szCs w:val="22"/>
        </w:rPr>
        <w:t xml:space="preserve">With the Federal Reserve and Bank of Japan both meeting this week, the rate environment that shapes valuations for long-duration growth assets will be clearer within days.</w:t>
      </w:r>
    </w:p>
    <w:p>
      <w:pPr>
        <w:spacing w:after="120" w:before="0" w:line="300"/>
        <w:jc w:val="both"/>
      </w:pPr>
      <w:r>
        <w:rPr>
          <w:rFonts w:ascii="Times New Roman" w:cs="Times New Roman" w:eastAsia="Times New Roman" w:hAnsi="Times New Roman"/>
          <w:color w:val="2E2E2E"/>
          <w:sz w:val="22"/>
          <w:szCs w:val="22"/>
        </w:rPr>
        <w:t xml:space="preserve">Japan's semiconductor equipment sector occupies a position in the global supply chain that its share of final chip production would not suggest, supplying tools and materials that fabrication plants worldwide depend on.</w:t>
      </w:r>
    </w:p>
    <w:p>
      <w:pPr>
        <w:spacing w:after="120" w:before="0" w:line="300"/>
        <w:jc w:val="both"/>
      </w:pPr>
      <w:r>
        <w:rPr>
          <w:rFonts w:ascii="Times New Roman" w:cs="Times New Roman" w:eastAsia="Times New Roman" w:hAnsi="Times New Roman"/>
          <w:color w:val="2E2E2E"/>
          <w:sz w:val="22"/>
          <w:szCs w:val="22"/>
        </w:rPr>
        <w:t xml:space="preserve">That position has made the sector a principal beneficiary of the AI capital expenditure cycle, as data centre demand drove orders for the advanced logic and memory capacity that requires their equipment.</w:t>
      </w:r>
    </w:p>
    <w:p>
      <w:pPr>
        <w:spacing w:after="120" w:before="0" w:line="300"/>
        <w:jc w:val="both"/>
      </w:pPr>
      <w:r>
        <w:rPr>
          <w:rFonts w:ascii="Times New Roman" w:cs="Times New Roman" w:eastAsia="Times New Roman" w:hAnsi="Times New Roman"/>
          <w:color w:val="2E2E2E"/>
          <w:sz w:val="22"/>
          <w:szCs w:val="22"/>
        </w:rPr>
        <w:t xml:space="preserve">Order books in the sector run on multi-quarter cycles, with equipment specified and contracted well before delivery, which decouples revenue recognition from any single month's sentiment.</w:t>
      </w:r>
    </w:p>
    <w:p>
      <w:pPr>
        <w:spacing w:after="120" w:before="0" w:line="300"/>
        <w:jc w:val="both"/>
      </w:pPr>
      <w:r>
        <w:rPr>
          <w:rFonts w:ascii="Times New Roman" w:cs="Times New Roman" w:eastAsia="Times New Roman" w:hAnsi="Times New Roman"/>
          <w:color w:val="2E2E2E"/>
          <w:sz w:val="22"/>
          <w:szCs w:val="22"/>
        </w:rPr>
        <w:t xml:space="preserve">Export controls on advanced equipment sales to China have introduced a separate variable, constraining a market that had represented meaningful revenue for several Japanese suppliers.</w:t>
      </w:r>
    </w:p>
    <w:p>
      <w:pPr>
        <w:spacing w:after="120" w:before="0" w:line="300"/>
        <w:jc w:val="both"/>
      </w:pPr>
      <w:r>
        <w:rPr>
          <w:rFonts w:ascii="Times New Roman" w:cs="Times New Roman" w:eastAsia="Times New Roman" w:hAnsi="Times New Roman"/>
          <w:color w:val="2E2E2E"/>
          <w:sz w:val="22"/>
          <w:szCs w:val="22"/>
        </w:rPr>
        <w:t xml:space="preserve">Domestic fabrication investment, including projects in Kumamoto and Hokkaido, provides a source of demand less exposed to the international cycle than the sector's traditional export base.</w:t>
      </w:r>
    </w:p>
    <w:p>
      <w:pPr>
        <w:spacing w:after="200" w:before="40"/>
        <w:jc w:val="right"/>
      </w:pPr>
      <w:r>
        <w:rPr>
          <w:rFonts w:ascii="Helvetica" w:cs="Helvetica" w:eastAsia="Helvetica" w:hAnsi="Helvetica"/>
          <w:i/>
          <w:iCs/>
          <w:color w:val="888888"/>
          <w:sz w:val="16"/>
          <w:szCs w:val="16"/>
        </w:rPr>
        <w:t xml:space="preserve">[371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SoftBank Group Falls More Than 10% Intraday on AI Repricing</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SoftBank Group fell by more than 10% at one point during Monday's session, according to Reuters and FISCO, the sharpest single-stock move in a day defined by the repricing of artificial intelligence exposure.</w:t>
      </w:r>
    </w:p>
    <w:p>
      <w:pPr>
        <w:spacing w:after="120" w:before="0" w:line="300"/>
        <w:jc w:val="both"/>
      </w:pPr>
      <w:r>
        <w:rPr>
          <w:rFonts w:ascii="Times New Roman" w:cs="Times New Roman" w:eastAsia="Times New Roman" w:hAnsi="Times New Roman"/>
          <w:color w:val="2E2E2E"/>
          <w:sz w:val="22"/>
          <w:szCs w:val="22"/>
        </w:rPr>
        <w:t xml:space="preserve">The scale of the fall reflects the concentration of the group's portfolio. SoftBank has positioned itself as one of the most direct listed vehicles for AI investment exposure, which delivers outsized gains when sentiment runs favourably and outsized losses when it does not.</w:t>
      </w:r>
    </w:p>
    <w:p>
      <w:pPr>
        <w:spacing w:after="120" w:before="0" w:line="300"/>
        <w:jc w:val="both"/>
      </w:pPr>
      <w:r>
        <w:rPr>
          <w:rFonts w:ascii="Times New Roman" w:cs="Times New Roman" w:eastAsia="Times New Roman" w:hAnsi="Times New Roman"/>
          <w:color w:val="2E2E2E"/>
          <w:sz w:val="22"/>
          <w:szCs w:val="22"/>
        </w:rPr>
        <w:t xml:space="preserve">Reports that OpenAI will postpone its listing removed a specific anticipated valuation event, and for a holding company whose net asset value depends on marks applied to private technology positions, a deferred public comparison is a material development.</w:t>
      </w:r>
    </w:p>
    <w:p>
      <w:pPr>
        <w:spacing w:after="120" w:before="0" w:line="300"/>
        <w:jc w:val="both"/>
      </w:pPr>
      <w:r>
        <w:rPr>
          <w:rFonts w:ascii="Times New Roman" w:cs="Times New Roman" w:eastAsia="Times New Roman" w:hAnsi="Times New Roman"/>
          <w:color w:val="2E2E2E"/>
          <w:sz w:val="22"/>
          <w:szCs w:val="22"/>
        </w:rPr>
        <w:t xml:space="preserve">The group's share price has historically traded at a discount to its own stated net asset value, a persistent gap that widens in periods when investors doubt the marks underlying that value.</w:t>
      </w:r>
    </w:p>
    <w:p>
      <w:pPr>
        <w:spacing w:after="120" w:before="0" w:line="300"/>
        <w:jc w:val="both"/>
      </w:pPr>
      <w:r>
        <w:rPr>
          <w:rFonts w:ascii="Times New Roman" w:cs="Times New Roman" w:eastAsia="Times New Roman" w:hAnsi="Times New Roman"/>
          <w:color w:val="2E2E2E"/>
          <w:sz w:val="22"/>
          <w:szCs w:val="22"/>
        </w:rPr>
        <w:t xml:space="preserve">A 10% intraday move in a company of this size also carries index consequences, since SoftBank's weight in the price-weighted Nikkei means its decline accounts for a meaningful share of the benchmark's fall on its own.</w:t>
      </w:r>
    </w:p>
    <w:p>
      <w:pPr>
        <w:spacing w:after="120" w:before="0" w:line="300"/>
        <w:jc w:val="both"/>
      </w:pPr>
      <w:r>
        <w:rPr>
          <w:rFonts w:ascii="Times New Roman" w:cs="Times New Roman" w:eastAsia="Times New Roman" w:hAnsi="Times New Roman"/>
          <w:color w:val="2E2E2E"/>
          <w:sz w:val="22"/>
          <w:szCs w:val="22"/>
        </w:rPr>
        <w:t xml:space="preserve">Whether Monday represents a repricing or an overreaction depends on questions about the AI investment cycle that will not be resolved by any single session.</w:t>
      </w:r>
    </w:p>
    <w:p>
      <w:pPr>
        <w:spacing w:after="120" w:before="0" w:line="300"/>
        <w:jc w:val="both"/>
      </w:pPr>
      <w:r>
        <w:rPr>
          <w:rFonts w:ascii="Times New Roman" w:cs="Times New Roman" w:eastAsia="Times New Roman" w:hAnsi="Times New Roman"/>
          <w:color w:val="2E2E2E"/>
          <w:sz w:val="22"/>
          <w:szCs w:val="22"/>
        </w:rPr>
        <w:t xml:space="preserve">SoftBank Group's structure as an investment holding company means its reported value derives from marks applied to a portfolio rather than from operating earnings in any conventional sense.</w:t>
      </w:r>
    </w:p>
    <w:p>
      <w:pPr>
        <w:spacing w:after="120" w:before="0" w:line="300"/>
        <w:jc w:val="both"/>
      </w:pPr>
      <w:r>
        <w:rPr>
          <w:rFonts w:ascii="Times New Roman" w:cs="Times New Roman" w:eastAsia="Times New Roman" w:hAnsi="Times New Roman"/>
          <w:color w:val="2E2E2E"/>
          <w:sz w:val="22"/>
          <w:szCs w:val="22"/>
        </w:rPr>
        <w:t xml:space="preserve">That structure produces a persistent gap between the group's stated net asset value and its share price, a discount investors have applied for years and that widens when confidence in the underlying marks declines.</w:t>
      </w:r>
    </w:p>
    <w:p>
      <w:pPr>
        <w:spacing w:after="120" w:before="0" w:line="300"/>
        <w:jc w:val="both"/>
      </w:pPr>
      <w:r>
        <w:rPr>
          <w:rFonts w:ascii="Times New Roman" w:cs="Times New Roman" w:eastAsia="Times New Roman" w:hAnsi="Times New Roman"/>
          <w:color w:val="2E2E2E"/>
          <w:sz w:val="22"/>
          <w:szCs w:val="22"/>
        </w:rPr>
        <w:t xml:space="preserve">The group's holding in a leading semiconductor design company has been among its most significant positions, tying its fortunes closely to the same AI hardware cycle that moved sharply Monday.</w:t>
      </w:r>
    </w:p>
    <w:p>
      <w:pPr>
        <w:spacing w:after="120" w:before="0" w:line="300"/>
        <w:jc w:val="both"/>
      </w:pPr>
      <w:r>
        <w:rPr>
          <w:rFonts w:ascii="Times New Roman" w:cs="Times New Roman" w:eastAsia="Times New Roman" w:hAnsi="Times New Roman"/>
          <w:color w:val="2E2E2E"/>
          <w:sz w:val="22"/>
          <w:szCs w:val="22"/>
        </w:rPr>
        <w:t xml:space="preserve">Share buybacks have been the group's principal tool for addressing the valuation discount, funded by asset sales, an approach that has narrowed the gap at intervals without closing it.</w:t>
      </w:r>
    </w:p>
    <w:p>
      <w:pPr>
        <w:spacing w:after="120" w:before="0" w:line="300"/>
        <w:jc w:val="both"/>
      </w:pPr>
      <w:r>
        <w:rPr>
          <w:rFonts w:ascii="Times New Roman" w:cs="Times New Roman" w:eastAsia="Times New Roman" w:hAnsi="Times New Roman"/>
          <w:color w:val="2E2E2E"/>
          <w:sz w:val="22"/>
          <w:szCs w:val="22"/>
        </w:rPr>
        <w:t xml:space="preserve">A double-digit intraday move in a company of this weight has index consequences beyond the company itself, given the influence a high nominal share price carries in a price-weighted benchmark.</w:t>
      </w:r>
    </w:p>
    <w:p>
      <w:pPr>
        <w:spacing w:after="200" w:before="40"/>
        <w:jc w:val="right"/>
      </w:pPr>
      <w:r>
        <w:rPr>
          <w:rFonts w:ascii="Helvetica" w:cs="Helvetica" w:eastAsia="Helvetica" w:hAnsi="Helvetica"/>
          <w:i/>
          <w:iCs/>
          <w:color w:val="888888"/>
          <w:sz w:val="16"/>
          <w:szCs w:val="16"/>
        </w:rPr>
        <w:t xml:space="preserve">[358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Leopalace Deal Lands in a Rental Market Facing Higher Financing Costs</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Hikari Tsushin's approximately 270 billion yen tender offer for Leopalace21 arrives in a property market where metropolitan values have been setting records while the financing costs supporting them are about to rise.</w:t>
      </w:r>
    </w:p>
    <w:p>
      <w:pPr>
        <w:spacing w:after="120" w:before="0" w:line="300"/>
        <w:jc w:val="both"/>
      </w:pPr>
      <w:r>
        <w:rPr>
          <w:rFonts w:ascii="Times New Roman" w:cs="Times New Roman" w:eastAsia="Times New Roman" w:hAnsi="Times New Roman"/>
          <w:color w:val="2E2E2E"/>
          <w:sz w:val="22"/>
          <w:szCs w:val="22"/>
        </w:rPr>
        <w:t xml:space="preserve">Rental housing operators occupy a different position in a rising-rate environment than developers do. Their revenue derives from occupancy and rent levels rather than from sales, which makes them less immediately exposed to buyer financing costs.</w:t>
      </w:r>
    </w:p>
    <w:p>
      <w:pPr>
        <w:spacing w:after="120" w:before="0" w:line="300"/>
        <w:jc w:val="both"/>
      </w:pPr>
      <w:r>
        <w:rPr>
          <w:rFonts w:ascii="Times New Roman" w:cs="Times New Roman" w:eastAsia="Times New Roman" w:hAnsi="Times New Roman"/>
          <w:color w:val="2E2E2E"/>
          <w:sz w:val="22"/>
          <w:szCs w:val="22"/>
        </w:rPr>
        <w:t xml:space="preserve">Leopalace21's portfolio of standardised rental apartments is concentrated in the student, single-worker and corporate housing segments, categories whose demand is driven by employment and enrolment patterns rather than by mortgage availability.</w:t>
      </w:r>
    </w:p>
    <w:p>
      <w:pPr>
        <w:spacing w:after="120" w:before="0" w:line="300"/>
        <w:jc w:val="both"/>
      </w:pPr>
      <w:r>
        <w:rPr>
          <w:rFonts w:ascii="Times New Roman" w:cs="Times New Roman" w:eastAsia="Times New Roman" w:hAnsi="Times New Roman"/>
          <w:color w:val="2E2E2E"/>
          <w:sz w:val="22"/>
          <w:szCs w:val="22"/>
        </w:rPr>
        <w:t xml:space="preserve">That demand profile is also exposed to Japan's demographics, since a shrinking cohort of young adults is the precise population the standardised rental model was built to serve.</w:t>
      </w:r>
    </w:p>
    <w:p>
      <w:pPr>
        <w:spacing w:after="120" w:before="0" w:line="300"/>
        <w:jc w:val="both"/>
      </w:pPr>
      <w:r>
        <w:rPr>
          <w:rFonts w:ascii="Times New Roman" w:cs="Times New Roman" w:eastAsia="Times New Roman" w:hAnsi="Times New Roman"/>
          <w:color w:val="2E2E2E"/>
          <w:sz w:val="22"/>
          <w:szCs w:val="22"/>
        </w:rPr>
        <w:t xml:space="preserve">Corporate housing contracts provide a partial offset, tying occupancy to employer arrangements rather than to individual tenant decisions, which tends to produce steadier utilisation.</w:t>
      </w:r>
    </w:p>
    <w:p>
      <w:pPr>
        <w:spacing w:after="120" w:before="0" w:line="300"/>
        <w:jc w:val="both"/>
      </w:pPr>
      <w:r>
        <w:rPr>
          <w:rFonts w:ascii="Times New Roman" w:cs="Times New Roman" w:eastAsia="Times New Roman" w:hAnsi="Times New Roman"/>
          <w:color w:val="2E2E2E"/>
          <w:sz w:val="22"/>
          <w:szCs w:val="22"/>
        </w:rPr>
        <w:t xml:space="preserve">The tender process and any regulatory review will determine the outcome, with the offer price relative to the market the variable shareholders will assess.</w:t>
      </w:r>
    </w:p>
    <w:p>
      <w:pPr>
        <w:spacing w:after="120" w:before="0" w:line="300"/>
        <w:jc w:val="both"/>
      </w:pPr>
      <w:r>
        <w:rPr>
          <w:rFonts w:ascii="Times New Roman" w:cs="Times New Roman" w:eastAsia="Times New Roman" w:hAnsi="Times New Roman"/>
          <w:color w:val="2E2E2E"/>
          <w:sz w:val="22"/>
          <w:szCs w:val="22"/>
        </w:rPr>
        <w:t xml:space="preserve">Japan's rental housing market divides between individually owned units managed by agents and the standardised portfolios operated at scale by companies such as Leopalace21, each with different economics.</w:t>
      </w:r>
    </w:p>
    <w:p>
      <w:pPr>
        <w:spacing w:after="120" w:before="0" w:line="300"/>
        <w:jc w:val="both"/>
      </w:pPr>
      <w:r>
        <w:rPr>
          <w:rFonts w:ascii="Times New Roman" w:cs="Times New Roman" w:eastAsia="Times New Roman" w:hAnsi="Times New Roman"/>
          <w:color w:val="2E2E2E"/>
          <w:sz w:val="22"/>
          <w:szCs w:val="22"/>
        </w:rPr>
        <w:t xml:space="preserve">The standardised model depends on volume and uniformity, with buildings constructed to a common specification and let on terms designed for rapid turnover rather than long tenancies.</w:t>
      </w:r>
    </w:p>
    <w:p>
      <w:pPr>
        <w:spacing w:after="120" w:before="0" w:line="300"/>
        <w:jc w:val="both"/>
      </w:pPr>
      <w:r>
        <w:rPr>
          <w:rFonts w:ascii="Times New Roman" w:cs="Times New Roman" w:eastAsia="Times New Roman" w:hAnsi="Times New Roman"/>
          <w:color w:val="2E2E2E"/>
          <w:sz w:val="22"/>
          <w:szCs w:val="22"/>
        </w:rPr>
        <w:t xml:space="preserve">Corporate housing contracts, under which employers lease units for transferred staff, have been a significant revenue source for operators in this segment and provide steadier occupancy than individual tenancies.</w:t>
      </w:r>
    </w:p>
    <w:p>
      <w:pPr>
        <w:spacing w:after="120" w:before="0" w:line="300"/>
        <w:jc w:val="both"/>
      </w:pPr>
      <w:r>
        <w:rPr>
          <w:rFonts w:ascii="Times New Roman" w:cs="Times New Roman" w:eastAsia="Times New Roman" w:hAnsi="Times New Roman"/>
          <w:color w:val="2E2E2E"/>
          <w:sz w:val="22"/>
          <w:szCs w:val="22"/>
        </w:rPr>
        <w:t xml:space="preserve">Japan's declining population of young adults reduces the core demand base for single-occupancy rental housing over time, a structural headwind no operator in the segment can avoid.</w:t>
      </w:r>
    </w:p>
    <w:p>
      <w:pPr>
        <w:spacing w:after="120" w:before="0" w:line="300"/>
        <w:jc w:val="both"/>
      </w:pPr>
      <w:r>
        <w:rPr>
          <w:rFonts w:ascii="Times New Roman" w:cs="Times New Roman" w:eastAsia="Times New Roman" w:hAnsi="Times New Roman"/>
          <w:color w:val="2E2E2E"/>
          <w:sz w:val="22"/>
          <w:szCs w:val="22"/>
        </w:rPr>
        <w:t xml:space="preserve">Rising interest rates affect the segment through the cost of the debt financing that property portfolios typically carry, rather than through tenant behaviour directly.</w:t>
      </w:r>
    </w:p>
    <w:p>
      <w:pPr>
        <w:spacing w:after="200" w:before="40"/>
        <w:jc w:val="right"/>
      </w:pPr>
      <w:r>
        <w:rPr>
          <w:rFonts w:ascii="Helvetica" w:cs="Helvetica" w:eastAsia="Helvetica" w:hAnsi="Helvetica"/>
          <w:i/>
          <w:iCs/>
          <w:color w:val="888888"/>
          <w:sz w:val="16"/>
          <w:szCs w:val="16"/>
        </w:rPr>
        <w:t xml:space="preserve">[310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Import Bill Climbs as Crude Holds Above $100</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Crude above $100 a barrel, with some reports placing West Texas Intermediate briefly in the $104 range, continues to inflate Japan's import bill at a time when the yen sits in the mid-154 range against the dollar.</w:t>
      </w:r>
    </w:p>
    <w:p>
      <w:pPr>
        <w:spacing w:after="120" w:before="0" w:line="300"/>
        <w:jc w:val="both"/>
      </w:pPr>
      <w:r>
        <w:rPr>
          <w:rFonts w:ascii="Times New Roman" w:cs="Times New Roman" w:eastAsia="Times New Roman" w:hAnsi="Times New Roman"/>
          <w:color w:val="2E2E2E"/>
          <w:sz w:val="22"/>
          <w:szCs w:val="22"/>
        </w:rPr>
        <w:t xml:space="preserve">The two pressures compound rather than offset. A weaker yen raises the local-currency cost of every dollar-denominated barrel, so a country importing nearly all of its crude pays twice over when both move against it.</w:t>
      </w:r>
    </w:p>
    <w:p>
      <w:pPr>
        <w:spacing w:after="120" w:before="0" w:line="300"/>
        <w:jc w:val="both"/>
      </w:pPr>
      <w:r>
        <w:rPr>
          <w:rFonts w:ascii="Times New Roman" w:cs="Times New Roman" w:eastAsia="Times New Roman" w:hAnsi="Times New Roman"/>
          <w:color w:val="2E2E2E"/>
          <w:sz w:val="22"/>
          <w:szCs w:val="22"/>
        </w:rPr>
        <w:t xml:space="preserve">Japanese manufacturers with energy-intensive production face the cost directly, and those unable to pass it through absorb it in margin, a dynamic visible across chemicals, steel and materials sectors.</w:t>
      </w:r>
    </w:p>
    <w:p>
      <w:pPr>
        <w:spacing w:after="120" w:before="0" w:line="300"/>
        <w:jc w:val="both"/>
      </w:pPr>
      <w:r>
        <w:rPr>
          <w:rFonts w:ascii="Times New Roman" w:cs="Times New Roman" w:eastAsia="Times New Roman" w:hAnsi="Times New Roman"/>
          <w:color w:val="2E2E2E"/>
          <w:sz w:val="22"/>
          <w:szCs w:val="22"/>
        </w:rPr>
        <w:t xml:space="preserve">The three-to-five week timeline for restoring Saudi Arabia's East-West pipeline removes a route that lets Saudi crude bypass the Strait of Hormuz, concentrating more export volume through contested water.</w:t>
      </w:r>
    </w:p>
    <w:p>
      <w:pPr>
        <w:spacing w:after="120" w:before="0" w:line="300"/>
        <w:jc w:val="both"/>
      </w:pPr>
      <w:r>
        <w:rPr>
          <w:rFonts w:ascii="Times New Roman" w:cs="Times New Roman" w:eastAsia="Times New Roman" w:hAnsi="Times New Roman"/>
          <w:color w:val="2E2E2E"/>
          <w:sz w:val="22"/>
          <w:szCs w:val="22"/>
        </w:rPr>
        <w:t xml:space="preserve">Producer price data has run well above consumer inflation for months, reflecting exactly this import-cost channel, and the gap indicates how much cost pressure has yet to reach household prices.</w:t>
      </w:r>
    </w:p>
    <w:p>
      <w:pPr>
        <w:spacing w:after="120" w:before="0" w:line="300"/>
        <w:jc w:val="both"/>
      </w:pPr>
      <w:r>
        <w:rPr>
          <w:rFonts w:ascii="Times New Roman" w:cs="Times New Roman" w:eastAsia="Times New Roman" w:hAnsi="Times New Roman"/>
          <w:color w:val="2E2E2E"/>
          <w:sz w:val="22"/>
          <w:szCs w:val="22"/>
        </w:rPr>
        <w:t xml:space="preserve">Both central bank meetings this week will assess an inflation picture in which the imported component is unusually large relative to domestic demand pressure.</w:t>
      </w:r>
    </w:p>
    <w:p>
      <w:pPr>
        <w:spacing w:after="120" w:before="0" w:line="300"/>
        <w:jc w:val="both"/>
      </w:pPr>
      <w:r>
        <w:rPr>
          <w:rFonts w:ascii="Times New Roman" w:cs="Times New Roman" w:eastAsia="Times New Roman" w:hAnsi="Times New Roman"/>
          <w:color w:val="2E2E2E"/>
          <w:sz w:val="22"/>
          <w:szCs w:val="22"/>
        </w:rPr>
        <w:t xml:space="preserve">Japan imports the overwhelming majority of its primary energy, a dependence established by geology rather than policy and one that has shaped economic strategy since the oil shocks of the 1970s.</w:t>
      </w:r>
    </w:p>
    <w:p>
      <w:pPr>
        <w:spacing w:after="120" w:before="0" w:line="300"/>
        <w:jc w:val="both"/>
      </w:pPr>
      <w:r>
        <w:rPr>
          <w:rFonts w:ascii="Times New Roman" w:cs="Times New Roman" w:eastAsia="Times New Roman" w:hAnsi="Times New Roman"/>
          <w:color w:val="2E2E2E"/>
          <w:sz w:val="22"/>
          <w:szCs w:val="22"/>
        </w:rPr>
        <w:t xml:space="preserve">Those shocks produced a sustained national effort toward energy efficiency, and Japanese industry remains among the world's most efficient per unit of output, which limits how much further efficiency can cushion a price move.</w:t>
      </w:r>
    </w:p>
    <w:p>
      <w:pPr>
        <w:spacing w:after="120" w:before="0" w:line="300"/>
        <w:jc w:val="both"/>
      </w:pPr>
      <w:r>
        <w:rPr>
          <w:rFonts w:ascii="Times New Roman" w:cs="Times New Roman" w:eastAsia="Times New Roman" w:hAnsi="Times New Roman"/>
          <w:color w:val="2E2E2E"/>
          <w:sz w:val="22"/>
          <w:szCs w:val="22"/>
        </w:rPr>
        <w:t xml:space="preserve">The trade balance responds directly to energy prices, with import costs swinging Japan between surplus and deficit in a way that has become more pronounced as the nuclear fleet's contribution fell.</w:t>
      </w:r>
    </w:p>
    <w:p>
      <w:pPr>
        <w:spacing w:after="120" w:before="0" w:line="300"/>
        <w:jc w:val="both"/>
      </w:pPr>
      <w:r>
        <w:rPr>
          <w:rFonts w:ascii="Times New Roman" w:cs="Times New Roman" w:eastAsia="Times New Roman" w:hAnsi="Times New Roman"/>
          <w:color w:val="2E2E2E"/>
          <w:sz w:val="22"/>
          <w:szCs w:val="22"/>
        </w:rPr>
        <w:t xml:space="preserve">A weaker yen amplifies every element of that arithmetic, since energy is priced in dollars and the conversion happens before the cost reaches any Japanese buyer.</w:t>
      </w:r>
    </w:p>
    <w:p>
      <w:pPr>
        <w:spacing w:after="120" w:before="0" w:line="300"/>
        <w:jc w:val="both"/>
      </w:pPr>
      <w:r>
        <w:rPr>
          <w:rFonts w:ascii="Times New Roman" w:cs="Times New Roman" w:eastAsia="Times New Roman" w:hAnsi="Times New Roman"/>
          <w:color w:val="2E2E2E"/>
          <w:sz w:val="22"/>
          <w:szCs w:val="22"/>
        </w:rPr>
        <w:t xml:space="preserve">Producer prices have run consistently above consumer prices through this period, indicating cost pressure that firms have absorbed rather than passed on, a buffer that thins the longer the pressure persists.</w:t>
      </w:r>
    </w:p>
    <w:p>
      <w:pPr>
        <w:spacing w:after="200" w:before="40"/>
        <w:jc w:val="right"/>
      </w:pPr>
      <w:r>
        <w:rPr>
          <w:rFonts w:ascii="Helvetica" w:cs="Helvetica" w:eastAsia="Helvetica" w:hAnsi="Helvetica"/>
          <w:i/>
          <w:iCs/>
          <w:color w:val="888888"/>
          <w:sz w:val="16"/>
          <w:szCs w:val="16"/>
        </w:rPr>
        <w:t xml:space="preserve">[337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Japan's LNG Position Limits Its Room to Move on Russia</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Japan's dependence on imported liquefied natural gas, and on Russian supply for a portion of it, constrains the government's options at a moment when energy prices are elevated and the Gulf remains unstable.</w:t>
      </w:r>
    </w:p>
    <w:p>
      <w:pPr>
        <w:spacing w:after="120" w:before="0" w:line="300"/>
        <w:jc w:val="both"/>
      </w:pPr>
      <w:r>
        <w:rPr>
          <w:rFonts w:ascii="Times New Roman" w:cs="Times New Roman" w:eastAsia="Times New Roman" w:hAnsi="Times New Roman"/>
          <w:color w:val="2E2E2E"/>
          <w:sz w:val="22"/>
          <w:szCs w:val="22"/>
        </w:rPr>
        <w:t xml:space="preserve">The Sakhalin-2 project off Russia's Pacific coast supplies a meaningful share of Japan's LNG under long-term contracts, and Japanese trading houses retain stakes in the venture.</w:t>
      </w:r>
    </w:p>
    <w:p>
      <w:pPr>
        <w:spacing w:after="120" w:before="0" w:line="300"/>
        <w:jc w:val="both"/>
      </w:pPr>
      <w:r>
        <w:rPr>
          <w:rFonts w:ascii="Times New Roman" w:cs="Times New Roman" w:eastAsia="Times New Roman" w:hAnsi="Times New Roman"/>
          <w:color w:val="2E2E2E"/>
          <w:sz w:val="22"/>
          <w:szCs w:val="22"/>
        </w:rPr>
        <w:t xml:space="preserve">Those arrangements survived the sanctions regime that followed the Ukraine invasion because Tokyo judged the supply too difficult to replace on short notice, a judgment that has not become easier with time.</w:t>
      </w:r>
    </w:p>
    <w:p>
      <w:pPr>
        <w:spacing w:after="120" w:before="0" w:line="300"/>
        <w:jc w:val="both"/>
      </w:pPr>
      <w:r>
        <w:rPr>
          <w:rFonts w:ascii="Times New Roman" w:cs="Times New Roman" w:eastAsia="Times New Roman" w:hAnsi="Times New Roman"/>
          <w:color w:val="2E2E2E"/>
          <w:sz w:val="22"/>
          <w:szCs w:val="22"/>
        </w:rPr>
        <w:t xml:space="preserve">LNG's role in Japanese generation expanded sharply after 2011 to fill the gap left by the idled nuclear fleet, which is why gas supply security and nuclear restart timelines are the same policy question viewed from two sides.</w:t>
      </w:r>
    </w:p>
    <w:p>
      <w:pPr>
        <w:spacing w:after="120" w:before="0" w:line="300"/>
        <w:jc w:val="both"/>
      </w:pPr>
      <w:r>
        <w:rPr>
          <w:rFonts w:ascii="Times New Roman" w:cs="Times New Roman" w:eastAsia="Times New Roman" w:hAnsi="Times New Roman"/>
          <w:color w:val="2E2E2E"/>
          <w:sz w:val="22"/>
          <w:szCs w:val="22"/>
        </w:rPr>
        <w:t xml:space="preserve">Contract structures in the LNG market are long-term and price-linked to oil, which transmits Gulf crude volatility into gas costs even for cargoes that never transit Hormuz.</w:t>
      </w:r>
    </w:p>
    <w:p>
      <w:pPr>
        <w:spacing w:after="120" w:before="0" w:line="300"/>
        <w:jc w:val="both"/>
      </w:pPr>
      <w:r>
        <w:rPr>
          <w:rFonts w:ascii="Times New Roman" w:cs="Times New Roman" w:eastAsia="Times New Roman" w:hAnsi="Times New Roman"/>
          <w:color w:val="2E2E2E"/>
          <w:sz w:val="22"/>
          <w:szCs w:val="22"/>
        </w:rPr>
        <w:t xml:space="preserve">Spot LNG markets exist but are thin and expensive relative to contracted supply, making them a poor substitute for volumes lost from a long-term source.</w:t>
      </w:r>
    </w:p>
    <w:p>
      <w:pPr>
        <w:spacing w:after="120" w:before="0" w:line="300"/>
        <w:jc w:val="both"/>
      </w:pPr>
      <w:r>
        <w:rPr>
          <w:rFonts w:ascii="Times New Roman" w:cs="Times New Roman" w:eastAsia="Times New Roman" w:hAnsi="Times New Roman"/>
          <w:color w:val="2E2E2E"/>
          <w:sz w:val="22"/>
          <w:szCs w:val="22"/>
        </w:rPr>
        <w:t xml:space="preserve">Diversification toward Australian, American and Qatari supply has proceeded, though each carries its own logistics and, in Qatar's case, its own exposure to the Gulf.</w:t>
      </w:r>
    </w:p>
    <w:p>
      <w:pPr>
        <w:spacing w:after="120" w:before="0" w:line="300"/>
        <w:jc w:val="both"/>
      </w:pPr>
      <w:r>
        <w:rPr>
          <w:rFonts w:ascii="Times New Roman" w:cs="Times New Roman" w:eastAsia="Times New Roman" w:hAnsi="Times New Roman"/>
          <w:color w:val="2E2E2E"/>
          <w:sz w:val="22"/>
          <w:szCs w:val="22"/>
        </w:rPr>
        <w:t xml:space="preserve">The Hamaoka withdrawal extends the period in which gas must carry the load nuclear capacity was expected to take back, and every year of that extension is a year of continued exposure to whichever supplier is least replaceable.</w:t>
      </w:r>
    </w:p>
    <w:p>
      <w:pPr>
        <w:spacing w:after="120" w:before="0" w:line="300"/>
        <w:jc w:val="both"/>
      </w:pPr>
      <w:r>
        <w:rPr>
          <w:rFonts w:ascii="Times New Roman" w:cs="Times New Roman" w:eastAsia="Times New Roman" w:hAnsi="Times New Roman"/>
          <w:color w:val="2E2E2E"/>
          <w:sz w:val="22"/>
          <w:szCs w:val="22"/>
        </w:rPr>
        <w:t xml:space="preserve">Government policy has described reducing Russian energy dependence as an objective without setting a date, reflecting the practical difficulty of meeting it.</w:t>
      </w:r>
    </w:p>
    <w:p>
      <w:pPr>
        <w:spacing w:after="120" w:before="0" w:line="300"/>
        <w:jc w:val="both"/>
      </w:pPr>
      <w:r>
        <w:rPr>
          <w:rFonts w:ascii="Times New Roman" w:cs="Times New Roman" w:eastAsia="Times New Roman" w:hAnsi="Times New Roman"/>
          <w:color w:val="2E2E2E"/>
          <w:sz w:val="22"/>
          <w:szCs w:val="22"/>
        </w:rPr>
        <w:t xml:space="preserve">Energy-intensive industry watches the question closely, since gas pricing feeds directly into electricity tariffs for large consumers.</w:t>
      </w:r>
    </w:p>
    <w:p>
      <w:pPr>
        <w:spacing w:after="120" w:before="0" w:line="300"/>
        <w:jc w:val="both"/>
      </w:pPr>
      <w:r>
        <w:rPr>
          <w:rFonts w:ascii="Times New Roman" w:cs="Times New Roman" w:eastAsia="Times New Roman" w:hAnsi="Times New Roman"/>
          <w:color w:val="2E2E2E"/>
          <w:sz w:val="22"/>
          <w:szCs w:val="22"/>
        </w:rPr>
        <w:t xml:space="preserve">The situation illustrates a broader point about Japanese energy security: the constraint is not any single supplier but the small number of alternatives to each.</w:t>
      </w:r>
    </w:p>
    <w:p>
      <w:pPr>
        <w:spacing w:after="200" w:before="40"/>
        <w:jc w:val="right"/>
      </w:pPr>
      <w:r>
        <w:rPr>
          <w:rFonts w:ascii="Helvetica" w:cs="Helvetica" w:eastAsia="Helvetica" w:hAnsi="Helvetica"/>
          <w:i/>
          <w:iCs/>
          <w:color w:val="888888"/>
          <w:sz w:val="16"/>
          <w:szCs w:val="16"/>
        </w:rPr>
        <w:t xml:space="preserve">[308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Mechanism That Puts Gulf Oil Prices on Japanese Electricity Bills</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Japanese electricity tariffs contain a component most households never examine and most bills do not explain: the fuel cost adjustment, the mechanism through which the price of imported fuel reaches the monthly charge.</w:t>
      </w:r>
    </w:p>
    <w:p>
      <w:pPr>
        <w:spacing w:after="120" w:before="0" w:line="300"/>
        <w:jc w:val="both"/>
      </w:pPr>
      <w:r>
        <w:rPr>
          <w:rFonts w:ascii="Times New Roman" w:cs="Times New Roman" w:eastAsia="Times New Roman" w:hAnsi="Times New Roman"/>
          <w:color w:val="2E2E2E"/>
          <w:sz w:val="22"/>
          <w:szCs w:val="22"/>
        </w:rPr>
        <w:t xml:space="preserve">Utilities set a base tariff on an assumed fuel cost, and the adjustment raises or lowers the actual charge each month according to how far real import prices have moved from that assumption.</w:t>
      </w:r>
    </w:p>
    <w:p>
      <w:pPr>
        <w:spacing w:after="120" w:before="0" w:line="300"/>
        <w:jc w:val="both"/>
      </w:pPr>
      <w:r>
        <w:rPr>
          <w:rFonts w:ascii="Times New Roman" w:cs="Times New Roman" w:eastAsia="Times New Roman" w:hAnsi="Times New Roman"/>
          <w:color w:val="2E2E2E"/>
          <w:sz w:val="22"/>
          <w:szCs w:val="22"/>
        </w:rPr>
        <w:t xml:space="preserve">The calculation uses a trailing average of import prices over a period of months, which introduces a lag between a change in the market and its appearance on bills. Crude prices in September reach charges toward the end of the year.</w:t>
      </w:r>
    </w:p>
    <w:p>
      <w:pPr>
        <w:spacing w:after="120" w:before="0" w:line="300"/>
        <w:jc w:val="both"/>
      </w:pPr>
      <w:r>
        <w:rPr>
          <w:rFonts w:ascii="Times New Roman" w:cs="Times New Roman" w:eastAsia="Times New Roman" w:hAnsi="Times New Roman"/>
          <w:color w:val="2E2E2E"/>
          <w:sz w:val="22"/>
          <w:szCs w:val="22"/>
        </w:rPr>
        <w:t xml:space="preserve">That lag cuts both ways. It delays the pain of a price spike and delays the relief of a fall, which is why households sometimes see bills rising after energy markets have already turned.</w:t>
      </w:r>
    </w:p>
    <w:p>
      <w:pPr>
        <w:spacing w:after="120" w:before="0" w:line="300"/>
        <w:jc w:val="both"/>
      </w:pPr>
      <w:r>
        <w:rPr>
          <w:rFonts w:ascii="Times New Roman" w:cs="Times New Roman" w:eastAsia="Times New Roman" w:hAnsi="Times New Roman"/>
          <w:color w:val="2E2E2E"/>
          <w:sz w:val="22"/>
          <w:szCs w:val="22"/>
        </w:rPr>
        <w:t xml:space="preserve">The adjustment is capped in the regulated tariff, limiting how far above the base assumption it can rise, though utilities have sought and in some cases obtained revisions to the base itself when sustained increases exhausted the cap's headroom.</w:t>
      </w:r>
    </w:p>
    <w:p>
      <w:pPr>
        <w:spacing w:after="120" w:before="0" w:line="300"/>
        <w:jc w:val="both"/>
      </w:pPr>
      <w:r>
        <w:rPr>
          <w:rFonts w:ascii="Times New Roman" w:cs="Times New Roman" w:eastAsia="Times New Roman" w:hAnsi="Times New Roman"/>
          <w:color w:val="2E2E2E"/>
          <w:sz w:val="22"/>
          <w:szCs w:val="22"/>
        </w:rPr>
        <w:t xml:space="preserve">Liquefied natural gas rather than crude is the principal fuel for Japanese thermal generation, but LNG contract prices have historically been linked to oil, which transmits the crude move into gas costs.</w:t>
      </w:r>
    </w:p>
    <w:p>
      <w:pPr>
        <w:spacing w:after="120" w:before="0" w:line="300"/>
        <w:jc w:val="both"/>
      </w:pPr>
      <w:r>
        <w:rPr>
          <w:rFonts w:ascii="Times New Roman" w:cs="Times New Roman" w:eastAsia="Times New Roman" w:hAnsi="Times New Roman"/>
          <w:color w:val="2E2E2E"/>
          <w:sz w:val="22"/>
          <w:szCs w:val="22"/>
        </w:rPr>
        <w:t xml:space="preserve">Coal supplies a further share of generation and follows its own price cycle, which has been less volatile than oil and gas through the current disruption.</w:t>
      </w:r>
    </w:p>
    <w:p>
      <w:pPr>
        <w:spacing w:after="120" w:before="0" w:line="300"/>
        <w:jc w:val="both"/>
      </w:pPr>
      <w:r>
        <w:rPr>
          <w:rFonts w:ascii="Times New Roman" w:cs="Times New Roman" w:eastAsia="Times New Roman" w:hAnsi="Times New Roman"/>
          <w:color w:val="2E2E2E"/>
          <w:sz w:val="22"/>
          <w:szCs w:val="22"/>
        </w:rPr>
        <w:t xml:space="preserve">The share of generation exposed to fuel prices at all is the variable nuclear restarts would change. A running reactor's fuel cost is small and stable, which is why idle capacity translates so directly into bill volatility.</w:t>
      </w:r>
    </w:p>
    <w:p>
      <w:pPr>
        <w:spacing w:after="120" w:before="0" w:line="300"/>
        <w:jc w:val="both"/>
      </w:pPr>
      <w:r>
        <w:rPr>
          <w:rFonts w:ascii="Times New Roman" w:cs="Times New Roman" w:eastAsia="Times New Roman" w:hAnsi="Times New Roman"/>
          <w:color w:val="2E2E2E"/>
          <w:sz w:val="22"/>
          <w:szCs w:val="22"/>
        </w:rPr>
        <w:t xml:space="preserve">Government subsidies have periodically offset part of the adjustment during price spikes, a measure that shields households while transferring the cost to the general budget.</w:t>
      </w:r>
    </w:p>
    <w:p>
      <w:pPr>
        <w:spacing w:after="120" w:before="0" w:line="300"/>
        <w:jc w:val="both"/>
      </w:pPr>
      <w:r>
        <w:rPr>
          <w:rFonts w:ascii="Times New Roman" w:cs="Times New Roman" w:eastAsia="Times New Roman" w:hAnsi="Times New Roman"/>
          <w:color w:val="2E2E2E"/>
          <w:sz w:val="22"/>
          <w:szCs w:val="22"/>
        </w:rPr>
        <w:t xml:space="preserve">For large industrial customers, who negotiate supply contracts individually, the same fuel exposure appears through different mechanisms but with the same origin.</w:t>
      </w:r>
    </w:p>
    <w:p>
      <w:pPr>
        <w:spacing w:after="120" w:before="0" w:line="300"/>
        <w:jc w:val="both"/>
      </w:pPr>
      <w:r>
        <w:rPr>
          <w:rFonts w:ascii="Times New Roman" w:cs="Times New Roman" w:eastAsia="Times New Roman" w:hAnsi="Times New Roman"/>
          <w:color w:val="2E2E2E"/>
          <w:sz w:val="22"/>
          <w:szCs w:val="22"/>
        </w:rPr>
        <w:t xml:space="preserve">The Hamaoka withdrawal extends the period in which the adjustment mechanism, rather than nuclear generation, determines how much of the Gulf's instability Japanese households pay for.</w:t>
      </w:r>
    </w:p>
    <w:p>
      <w:pPr>
        <w:spacing w:after="200" w:before="40"/>
        <w:jc w:val="right"/>
      </w:pPr>
      <w:r>
        <w:rPr>
          <w:rFonts w:ascii="Helvetica" w:cs="Helvetica" w:eastAsia="Helvetica" w:hAnsi="Helvetica"/>
          <w:i/>
          <w:iCs/>
          <w:color w:val="888888"/>
          <w:sz w:val="16"/>
          <w:szCs w:val="16"/>
        </w:rPr>
        <w:t xml:space="preserve">[348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Banks Are the Quiet Beneficiaries of the Rate Turn</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Monday's session, in which the TOPIX rose while the Nikkei fell, was led by banks and insurers, and the reason is the same one that has made financials the market's steadiest performers through the Bank of Japan's normalisation.</w:t>
      </w:r>
    </w:p>
    <w:p>
      <w:pPr>
        <w:spacing w:after="120" w:before="0" w:line="300"/>
        <w:jc w:val="both"/>
      </w:pPr>
      <w:r>
        <w:rPr>
          <w:rFonts w:ascii="Times New Roman" w:cs="Times New Roman" w:eastAsia="Times New Roman" w:hAnsi="Times New Roman"/>
          <w:color w:val="2E2E2E"/>
          <w:sz w:val="22"/>
          <w:szCs w:val="22"/>
        </w:rPr>
        <w:t xml:space="preserve">Years of near-zero rates compressed the margin between what banks pay depositors and what they earn on loans, the net interest margin that constitutes the core of banking profitability.</w:t>
      </w:r>
    </w:p>
    <w:p>
      <w:pPr>
        <w:spacing w:after="120" w:before="0" w:line="300"/>
        <w:jc w:val="both"/>
      </w:pPr>
      <w:r>
        <w:rPr>
          <w:rFonts w:ascii="Times New Roman" w:cs="Times New Roman" w:eastAsia="Times New Roman" w:hAnsi="Times New Roman"/>
          <w:color w:val="2E2E2E"/>
          <w:sz w:val="22"/>
          <w:szCs w:val="22"/>
        </w:rPr>
        <w:t xml:space="preserve">Each step in the policy rate widens that margin on new lending, and a move to 1.25% would extend the improvement that began when negative rates ended.</w:t>
      </w:r>
    </w:p>
    <w:p>
      <w:pPr>
        <w:spacing w:after="120" w:before="0" w:line="300"/>
        <w:jc w:val="both"/>
      </w:pPr>
      <w:r>
        <w:rPr>
          <w:rFonts w:ascii="Times New Roman" w:cs="Times New Roman" w:eastAsia="Times New Roman" w:hAnsi="Times New Roman"/>
          <w:color w:val="2E2E2E"/>
          <w:sz w:val="22"/>
          <w:szCs w:val="22"/>
        </w:rPr>
        <w:t xml:space="preserve">Japan's largest banks have substantial deposit bases on which they pay very little, which means higher lending rates flow through to earnings with limited offsetting cost.</w:t>
      </w:r>
    </w:p>
    <w:p>
      <w:pPr>
        <w:spacing w:after="120" w:before="0" w:line="300"/>
        <w:jc w:val="both"/>
      </w:pPr>
      <w:r>
        <w:rPr>
          <w:rFonts w:ascii="Times New Roman" w:cs="Times New Roman" w:eastAsia="Times New Roman" w:hAnsi="Times New Roman"/>
          <w:color w:val="2E2E2E"/>
          <w:sz w:val="22"/>
          <w:szCs w:val="22"/>
        </w:rPr>
        <w:t xml:space="preserve">Regional banks benefit similarly but carry greater exposure to the small businesses and agricultural borrowers for whom higher rates are a burden rather than a benefit.</w:t>
      </w:r>
    </w:p>
    <w:p>
      <w:pPr>
        <w:spacing w:after="120" w:before="0" w:line="300"/>
        <w:jc w:val="both"/>
      </w:pPr>
      <w:r>
        <w:rPr>
          <w:rFonts w:ascii="Times New Roman" w:cs="Times New Roman" w:eastAsia="Times New Roman" w:hAnsi="Times New Roman"/>
          <w:color w:val="2E2E2E"/>
          <w:sz w:val="22"/>
          <w:szCs w:val="22"/>
        </w:rPr>
        <w:t xml:space="preserve">Insurers gain through a different channel. Higher yields on the government bonds that dominate their portfolios improve the returns backing long-term policies, an effect that had reversed during the period of yield suppression.</w:t>
      </w:r>
    </w:p>
    <w:p>
      <w:pPr>
        <w:spacing w:after="120" w:before="0" w:line="300"/>
        <w:jc w:val="both"/>
      </w:pPr>
      <w:r>
        <w:rPr>
          <w:rFonts w:ascii="Times New Roman" w:cs="Times New Roman" w:eastAsia="Times New Roman" w:hAnsi="Times New Roman"/>
          <w:color w:val="2E2E2E"/>
          <w:sz w:val="22"/>
          <w:szCs w:val="22"/>
        </w:rPr>
        <w:t xml:space="preserve">The sector's share prices have reflected this for some time, with financials among the leaders of the past year's rally even as technology captured more of the attention.</w:t>
      </w:r>
    </w:p>
    <w:p>
      <w:pPr>
        <w:spacing w:after="120" w:before="0" w:line="300"/>
        <w:jc w:val="both"/>
      </w:pPr>
      <w:r>
        <w:rPr>
          <w:rFonts w:ascii="Times New Roman" w:cs="Times New Roman" w:eastAsia="Times New Roman" w:hAnsi="Times New Roman"/>
          <w:color w:val="2E2E2E"/>
          <w:sz w:val="22"/>
          <w:szCs w:val="22"/>
        </w:rPr>
        <w:t xml:space="preserve">Credit risk is the counterweight. Borrowers who took on debt at near-zero rates face higher servicing costs as loans reprice, and the transition will test the quality of lending decisions made during the easy years.</w:t>
      </w:r>
    </w:p>
    <w:p>
      <w:pPr>
        <w:spacing w:after="120" w:before="0" w:line="300"/>
        <w:jc w:val="both"/>
      </w:pPr>
      <w:r>
        <w:rPr>
          <w:rFonts w:ascii="Times New Roman" w:cs="Times New Roman" w:eastAsia="Times New Roman" w:hAnsi="Times New Roman"/>
          <w:color w:val="2E2E2E"/>
          <w:sz w:val="22"/>
          <w:szCs w:val="22"/>
        </w:rPr>
        <w:t xml:space="preserve">Real estate exposure has drawn particular regulatory attention, given the record condominium prices recorded over the summer and the sensitivity of property values to financing costs.</w:t>
      </w:r>
    </w:p>
    <w:p>
      <w:pPr>
        <w:spacing w:after="120" w:before="0" w:line="300"/>
        <w:jc w:val="both"/>
      </w:pPr>
      <w:r>
        <w:rPr>
          <w:rFonts w:ascii="Times New Roman" w:cs="Times New Roman" w:eastAsia="Times New Roman" w:hAnsi="Times New Roman"/>
          <w:color w:val="2E2E2E"/>
          <w:sz w:val="22"/>
          <w:szCs w:val="22"/>
        </w:rPr>
        <w:t xml:space="preserve">For depositors, the transition is slower. Banks have raised deposit rates modestly from their long stay near zero, though savers have seen less of the benefit than borrowers have felt of the cost.</w:t>
      </w:r>
    </w:p>
    <w:p>
      <w:pPr>
        <w:spacing w:after="120" w:before="0" w:line="300"/>
        <w:jc w:val="both"/>
      </w:pPr>
      <w:r>
        <w:rPr>
          <w:rFonts w:ascii="Times New Roman" w:cs="Times New Roman" w:eastAsia="Times New Roman" w:hAnsi="Times New Roman"/>
          <w:color w:val="2E2E2E"/>
          <w:sz w:val="22"/>
          <w:szCs w:val="22"/>
        </w:rPr>
        <w:t xml:space="preserve">The Bank of Japan's decision this week will indicate how far the normalisation extends, and the banking sector's performance will remain one of its clearest market signatures.</w:t>
      </w:r>
    </w:p>
    <w:p>
      <w:pPr>
        <w:spacing w:after="200" w:before="40"/>
        <w:jc w:val="right"/>
      </w:pPr>
      <w:r>
        <w:rPr>
          <w:rFonts w:ascii="Helvetica" w:cs="Helvetica" w:eastAsia="Helvetica" w:hAnsi="Helvetica"/>
          <w:i/>
          <w:iCs/>
          <w:color w:val="888888"/>
          <w:sz w:val="16"/>
          <w:szCs w:val="16"/>
        </w:rPr>
        <w:t xml:space="preserve">[328 words]</w:t>
      </w:r>
    </w:p>
    <w:p>
      <w:pPr>
        <w:shd w:fill="0D1B2A" w:color="auto" w:val="clear"/>
        <w:spacing w:after="160" w:before="300"/>
        <w:jc w:val="center"/>
      </w:pPr>
      <w:r>
        <w:rPr>
          <w:rFonts w:ascii="Helvetica" w:cs="Helvetica" w:eastAsia="Helvetica" w:hAnsi="Helvetica"/>
          <w:b/>
          <w:bCs/>
          <w:color w:val="FFFFFF"/>
          <w:sz w:val="24"/>
          <w:szCs w:val="24"/>
        </w:rPr>
        <w:t xml:space="preserve">— COURTS —</w:t>
      </w:r>
    </w:p>
    <w:p>
      <w:pPr>
        <w:pBdr>
          <w:top w:val="thick" w:color="9B1B2A" w:sz="18"/>
        </w:pBdr>
        <w:spacing w:after="80" w:before="160"/>
      </w:pPr>
      <w:r>
        <w:rPr>
          <w:rFonts w:ascii="Times New Roman" w:cs="Times New Roman" w:eastAsia="Times New Roman" w:hAnsi="Times New Roman"/>
          <w:b/>
          <w:bCs/>
          <w:color w:val="0D1B2A"/>
          <w:sz w:val="40"/>
          <w:szCs w:val="40"/>
        </w:rPr>
        <w:t xml:space="preserve">Suspended Sentences in Tokyo Women's Medical University Breach of Trust Case</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A former deputy director and an architect were each sentenced to two years and six months in prison, suspended for five years, in a breach of trust case connected to construction work at Tokyo Women's Medical University, according to Yomiuri Shimbun. The Tokyo District Court handed down the ruling.</w:t>
      </w:r>
    </w:p>
    <w:p>
      <w:pPr>
        <w:spacing w:after="120" w:before="0" w:line="300"/>
        <w:jc w:val="both"/>
      </w:pPr>
      <w:r>
        <w:rPr>
          <w:rFonts w:ascii="Times New Roman" w:cs="Times New Roman" w:eastAsia="Times New Roman" w:hAnsi="Times New Roman"/>
          <w:color w:val="2E2E2E"/>
          <w:sz w:val="22"/>
          <w:szCs w:val="22"/>
        </w:rPr>
        <w:t xml:space="preserve">Breach of trust in Japanese law covers conduct by someone entrusted with another party's affairs who acts against those interests for personal or third-party benefit, a category that captures a good deal of institutional self-dealing that would otherwise fall between fraud and embezzlement.</w:t>
      </w:r>
    </w:p>
    <w:p>
      <w:pPr>
        <w:spacing w:after="120" w:before="0" w:line="300"/>
        <w:jc w:val="both"/>
      </w:pPr>
      <w:r>
        <w:rPr>
          <w:rFonts w:ascii="Times New Roman" w:cs="Times New Roman" w:eastAsia="Times New Roman" w:hAnsi="Times New Roman"/>
          <w:color w:val="2E2E2E"/>
          <w:sz w:val="22"/>
          <w:szCs w:val="22"/>
        </w:rPr>
        <w:t xml:space="preserve">A suspended sentence means neither defendant enters prison unless they offend again within the five-year period, an outcome common in Japanese white-collar cases where the court finds culpability established but incarceration unnecessary to achieve the sentence's purpose.</w:t>
      </w:r>
    </w:p>
    <w:p>
      <w:pPr>
        <w:spacing w:after="120" w:before="0" w:line="300"/>
        <w:jc w:val="both"/>
      </w:pPr>
      <w:r>
        <w:rPr>
          <w:rFonts w:ascii="Times New Roman" w:cs="Times New Roman" w:eastAsia="Times New Roman" w:hAnsi="Times New Roman"/>
          <w:color w:val="2E2E2E"/>
          <w:sz w:val="22"/>
          <w:szCs w:val="22"/>
        </w:rPr>
        <w:t xml:space="preserve">University construction contracting has drawn repeated scrutiny in Japan, where large institutional building programmes involve substantial sums, long relationships between administrators and contractors, and oversight structures that have not always kept pace with either.</w:t>
      </w:r>
    </w:p>
    <w:p>
      <w:pPr>
        <w:spacing w:after="120" w:before="0" w:line="300"/>
        <w:jc w:val="both"/>
      </w:pPr>
      <w:r>
        <w:rPr>
          <w:rFonts w:ascii="Times New Roman" w:cs="Times New Roman" w:eastAsia="Times New Roman" w:hAnsi="Times New Roman"/>
          <w:color w:val="2E2E2E"/>
          <w:sz w:val="22"/>
          <w:szCs w:val="22"/>
        </w:rPr>
        <w:t xml:space="preserve">The involvement of both an administrator and an architect points to the structural weakness such cases usually expose, where the person specifying the work and the person delivering it have a shared interest that no one else in the process is positioned to check.</w:t>
      </w:r>
    </w:p>
    <w:p>
      <w:pPr>
        <w:spacing w:after="120" w:before="0" w:line="300"/>
        <w:jc w:val="both"/>
      </w:pPr>
      <w:r>
        <w:rPr>
          <w:rFonts w:ascii="Times New Roman" w:cs="Times New Roman" w:eastAsia="Times New Roman" w:hAnsi="Times New Roman"/>
          <w:color w:val="2E2E2E"/>
          <w:sz w:val="22"/>
          <w:szCs w:val="22"/>
        </w:rPr>
        <w:t xml:space="preserve">Tokyo Women's Medical University has faced governance scrutiny on other fronts in recent years, making this ruling one element of a broader institutional accountability question rather than an isolated matter.</w:t>
      </w:r>
    </w:p>
    <w:p>
      <w:pPr>
        <w:spacing w:after="120" w:before="0" w:line="300"/>
        <w:jc w:val="both"/>
      </w:pPr>
      <w:r>
        <w:rPr>
          <w:rFonts w:ascii="Times New Roman" w:cs="Times New Roman" w:eastAsia="Times New Roman" w:hAnsi="Times New Roman"/>
          <w:color w:val="2E2E2E"/>
          <w:sz w:val="22"/>
          <w:szCs w:val="22"/>
        </w:rPr>
        <w:t xml:space="preserve">Suspended sentences are the ordinary outcome in Japanese courts for first-time offenders in non-violent cases, applied in a substantial share of convictions where the court concludes that supervision without confinement serves the sentence's purpose.</w:t>
      </w:r>
    </w:p>
    <w:p>
      <w:pPr>
        <w:spacing w:after="120" w:before="0" w:line="300"/>
        <w:jc w:val="both"/>
      </w:pPr>
      <w:r>
        <w:rPr>
          <w:rFonts w:ascii="Times New Roman" w:cs="Times New Roman" w:eastAsia="Times New Roman" w:hAnsi="Times New Roman"/>
          <w:color w:val="2E2E2E"/>
          <w:sz w:val="22"/>
          <w:szCs w:val="22"/>
        </w:rPr>
        <w:t xml:space="preserve">The five-year suspension period functions as a conditional release. Any further offence within it activates the original term alongside whatever the new matter attracts, which supplies the deterrent the suspended sentence otherwise lacks.</w:t>
      </w:r>
    </w:p>
    <w:p>
      <w:pPr>
        <w:spacing w:after="120" w:before="0" w:line="300"/>
        <w:jc w:val="both"/>
      </w:pPr>
      <w:r>
        <w:rPr>
          <w:rFonts w:ascii="Times New Roman" w:cs="Times New Roman" w:eastAsia="Times New Roman" w:hAnsi="Times New Roman"/>
          <w:color w:val="2E2E2E"/>
          <w:sz w:val="22"/>
          <w:szCs w:val="22"/>
        </w:rPr>
        <w:t xml:space="preserve">Breach of trust prosecutions require establishing that the defendant occupied a position of trust and acted contrary to the interests they were bound to protect, a test that turns on the relationship rather than on the size of the loss.</w:t>
      </w:r>
    </w:p>
    <w:p>
      <w:pPr>
        <w:spacing w:after="120" w:before="0" w:line="300"/>
        <w:jc w:val="both"/>
      </w:pPr>
      <w:r>
        <w:rPr>
          <w:rFonts w:ascii="Times New Roman" w:cs="Times New Roman" w:eastAsia="Times New Roman" w:hAnsi="Times New Roman"/>
          <w:color w:val="2E2E2E"/>
          <w:sz w:val="22"/>
          <w:szCs w:val="22"/>
        </w:rPr>
        <w:t xml:space="preserve">University governance in Japan has drawn sustained scrutiny over the past decade, with several institutions facing questions about procurement, admissions and the concentration of authority in long-serving administrators.</w:t>
      </w:r>
    </w:p>
    <w:p>
      <w:pPr>
        <w:spacing w:after="120" w:before="0" w:line="300"/>
        <w:jc w:val="both"/>
      </w:pPr>
      <w:r>
        <w:rPr>
          <w:rFonts w:ascii="Times New Roman" w:cs="Times New Roman" w:eastAsia="Times New Roman" w:hAnsi="Times New Roman"/>
          <w:color w:val="2E2E2E"/>
          <w:sz w:val="22"/>
          <w:szCs w:val="22"/>
        </w:rPr>
        <w:t xml:space="preserve">Construction contracts are a recurring locus for such cases because they combine large sums, technical specifications that non-specialists cannot readily evaluate, and relationships between institutions and contractors that persist across many projects.</w:t>
      </w:r>
    </w:p>
    <w:p>
      <w:pPr>
        <w:spacing w:after="120" w:before="0" w:line="300"/>
        <w:jc w:val="both"/>
      </w:pPr>
      <w:r>
        <w:rPr>
          <w:rFonts w:ascii="Times New Roman" w:cs="Times New Roman" w:eastAsia="Times New Roman" w:hAnsi="Times New Roman"/>
          <w:color w:val="2E2E2E"/>
          <w:sz w:val="22"/>
          <w:szCs w:val="22"/>
        </w:rPr>
        <w:t xml:space="preserve">The conviction of the architect alongside the administrator reflects the structure of the offence, which typically requires a counterparty on the delivery side for the arrangement to function.</w:t>
      </w:r>
    </w:p>
    <w:p>
      <w:pPr>
        <w:spacing w:after="200" w:before="40"/>
        <w:jc w:val="right"/>
      </w:pPr>
      <w:r>
        <w:rPr>
          <w:rFonts w:ascii="Helvetica" w:cs="Helvetica" w:eastAsia="Helvetica" w:hAnsi="Helvetica"/>
          <w:i/>
          <w:iCs/>
          <w:color w:val="888888"/>
          <w:sz w:val="16"/>
          <w:szCs w:val="16"/>
        </w:rPr>
        <w:t xml:space="preserve">[432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Former Boyfriend Pleads Guilty at Opening of Nail Artist Murder Trial</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The first hearing in the murder of a nail artist opened at the Mito District Court, with the defendant, the victim's former boyfriend, pleading guilty, according to Yomiuri Shimbun.</w:t>
      </w:r>
    </w:p>
    <w:p>
      <w:pPr>
        <w:spacing w:after="120" w:before="0" w:line="300"/>
        <w:jc w:val="both"/>
      </w:pPr>
      <w:r>
        <w:rPr>
          <w:rFonts w:ascii="Times New Roman" w:cs="Times New Roman" w:eastAsia="Times New Roman" w:hAnsi="Times New Roman"/>
          <w:color w:val="2E2E2E"/>
          <w:sz w:val="22"/>
          <w:szCs w:val="22"/>
        </w:rPr>
        <w:t xml:space="preserve">A guilty plea at the opening hearing changes the character of a Japanese criminal trial considerably. With culpability admitted, proceedings turn almost entirely to sentencing, and the court's attention shifts to motive, circumstances and whatever mitigation the defence can establish.</w:t>
      </w:r>
    </w:p>
    <w:p>
      <w:pPr>
        <w:spacing w:after="120" w:before="0" w:line="300"/>
        <w:jc w:val="both"/>
      </w:pPr>
      <w:r>
        <w:rPr>
          <w:rFonts w:ascii="Times New Roman" w:cs="Times New Roman" w:eastAsia="Times New Roman" w:hAnsi="Times New Roman"/>
          <w:color w:val="2E2E2E"/>
          <w:sz w:val="22"/>
          <w:szCs w:val="22"/>
        </w:rPr>
        <w:t xml:space="preserve">Cases in which a former partner is charged with killing a woman after the relationship has ended form a persistent category in Japanese criminal courts, and one that has driven successive tightening of stalking legislation over the past two decades.</w:t>
      </w:r>
    </w:p>
    <w:p>
      <w:pPr>
        <w:spacing w:after="120" w:before="0" w:line="300"/>
        <w:jc w:val="both"/>
      </w:pPr>
      <w:r>
        <w:rPr>
          <w:rFonts w:ascii="Times New Roman" w:cs="Times New Roman" w:eastAsia="Times New Roman" w:hAnsi="Times New Roman"/>
          <w:color w:val="2E2E2E"/>
          <w:sz w:val="22"/>
          <w:szCs w:val="22"/>
        </w:rPr>
        <w:t xml:space="preserve">Japan's anti-stalking law has been amended repeatedly to close gaps, extending to electronic communication and GPS tracking, though prosecutors and victim advocates have continued to argue that intervention often arrives after the point at which it would have been most useful.</w:t>
      </w:r>
    </w:p>
    <w:p>
      <w:pPr>
        <w:spacing w:after="120" w:before="0" w:line="300"/>
        <w:jc w:val="both"/>
      </w:pPr>
      <w:r>
        <w:rPr>
          <w:rFonts w:ascii="Times New Roman" w:cs="Times New Roman" w:eastAsia="Times New Roman" w:hAnsi="Times New Roman"/>
          <w:color w:val="2E2E2E"/>
          <w:sz w:val="22"/>
          <w:szCs w:val="22"/>
        </w:rPr>
        <w:t xml:space="preserve">Sentencing in contested murder cases in Japan turns heavily on the specific circumstances and on whether the court finds premeditation, and the proceedings ahead will establish both.</w:t>
      </w:r>
    </w:p>
    <w:p>
      <w:pPr>
        <w:spacing w:after="120" w:before="0" w:line="300"/>
        <w:jc w:val="both"/>
      </w:pPr>
      <w:r>
        <w:rPr>
          <w:rFonts w:ascii="Times New Roman" w:cs="Times New Roman" w:eastAsia="Times New Roman" w:hAnsi="Times New Roman"/>
          <w:color w:val="2E2E2E"/>
          <w:sz w:val="22"/>
          <w:szCs w:val="22"/>
        </w:rPr>
        <w:t xml:space="preserve">Mito District Court will hear the remaining sessions before delivering its judgment, with the timeline depending on how much evidence remains genuinely in dispute now that guilt is not.</w:t>
      </w:r>
    </w:p>
    <w:p>
      <w:pPr>
        <w:spacing w:after="120" w:before="0" w:line="300"/>
        <w:jc w:val="both"/>
      </w:pPr>
      <w:r>
        <w:rPr>
          <w:rFonts w:ascii="Times New Roman" w:cs="Times New Roman" w:eastAsia="Times New Roman" w:hAnsi="Times New Roman"/>
          <w:color w:val="2E2E2E"/>
          <w:sz w:val="22"/>
          <w:szCs w:val="22"/>
        </w:rPr>
        <w:t xml:space="preserve">Japanese criminal trials proceed differently from adversarial common-law proceedings, with the court taking an active role in examining evidence and the conviction rate in prosecuted cases running extremely high.</w:t>
      </w:r>
    </w:p>
    <w:p>
      <w:pPr>
        <w:spacing w:after="120" w:before="0" w:line="300"/>
        <w:jc w:val="both"/>
      </w:pPr>
      <w:r>
        <w:rPr>
          <w:rFonts w:ascii="Times New Roman" w:cs="Times New Roman" w:eastAsia="Times New Roman" w:hAnsi="Times New Roman"/>
          <w:color w:val="2E2E2E"/>
          <w:sz w:val="22"/>
          <w:szCs w:val="22"/>
        </w:rPr>
        <w:t xml:space="preserve">A guilty plea at the opening hearing therefore shortens proceedings considerably, since the extensive evidence presentation that a contested case requires becomes unnecessary and the court turns to the circumstances relevant to sentence.</w:t>
      </w:r>
    </w:p>
    <w:p>
      <w:pPr>
        <w:spacing w:after="120" w:before="0" w:line="300"/>
        <w:jc w:val="both"/>
      </w:pPr>
      <w:r>
        <w:rPr>
          <w:rFonts w:ascii="Times New Roman" w:cs="Times New Roman" w:eastAsia="Times New Roman" w:hAnsi="Times New Roman"/>
          <w:color w:val="2E2E2E"/>
          <w:sz w:val="22"/>
          <w:szCs w:val="22"/>
        </w:rPr>
        <w:t xml:space="preserve">Lay judge panels sit alongside professional judges in serious criminal cases including murder, a system introduced in 2009 to bring citizen participation into a process that had been entirely professional.</w:t>
      </w:r>
    </w:p>
    <w:p>
      <w:pPr>
        <w:spacing w:after="120" w:before="0" w:line="300"/>
        <w:jc w:val="both"/>
      </w:pPr>
      <w:r>
        <w:rPr>
          <w:rFonts w:ascii="Times New Roman" w:cs="Times New Roman" w:eastAsia="Times New Roman" w:hAnsi="Times New Roman"/>
          <w:color w:val="2E2E2E"/>
          <w:sz w:val="22"/>
          <w:szCs w:val="22"/>
        </w:rPr>
        <w:t xml:space="preserve">Sentencing in murder cases turns substantially on whether the court finds premeditation, on the relationship between defendant and victim, and on any history of prior threats or harassment.</w:t>
      </w:r>
    </w:p>
    <w:p>
      <w:pPr>
        <w:spacing w:after="120" w:before="0" w:line="300"/>
        <w:jc w:val="both"/>
      </w:pPr>
      <w:r>
        <w:rPr>
          <w:rFonts w:ascii="Times New Roman" w:cs="Times New Roman" w:eastAsia="Times New Roman" w:hAnsi="Times New Roman"/>
          <w:color w:val="2E2E2E"/>
          <w:sz w:val="22"/>
          <w:szCs w:val="22"/>
        </w:rPr>
        <w:t xml:space="preserve">Japan's anti-stalking legislation has been amended several times since its introduction, extending to persistent electronic contact and to the use of location tracking devices, reforms that each followed cases demonstrating gaps.</w:t>
      </w:r>
    </w:p>
    <w:p>
      <w:pPr>
        <w:spacing w:after="120" w:before="0" w:line="300"/>
        <w:jc w:val="both"/>
      </w:pPr>
      <w:r>
        <w:rPr>
          <w:rFonts w:ascii="Times New Roman" w:cs="Times New Roman" w:eastAsia="Times New Roman" w:hAnsi="Times New Roman"/>
          <w:color w:val="2E2E2E"/>
          <w:sz w:val="22"/>
          <w:szCs w:val="22"/>
        </w:rPr>
        <w:t xml:space="preserve">Victim advocates have argued consistently that the difficulty lies less in the law's coverage than in the threshold at which police intervene, a question of practice rather than statute.</w:t>
      </w:r>
    </w:p>
    <w:p>
      <w:pPr>
        <w:spacing w:after="200" w:before="40"/>
        <w:jc w:val="right"/>
      </w:pPr>
      <w:r>
        <w:rPr>
          <w:rFonts w:ascii="Helvetica" w:cs="Helvetica" w:eastAsia="Helvetica" w:hAnsi="Helvetica"/>
          <w:i/>
          <w:iCs/>
          <w:color w:val="888888"/>
          <w:sz w:val="16"/>
          <w:szCs w:val="16"/>
        </w:rPr>
        <w:t xml:space="preserve">[386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Driver Who Fell Asleep From Sleep Apnea Indicted for Dangerous Driving</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A man who caused a fatal accident after falling asleep at the wheel due to sleep apnea has been indicted for dangerous driving, according to Yomiuri Shimbun, a charging decision that places a medical condition at the centre of a criminal culpability question.</w:t>
      </w:r>
    </w:p>
    <w:p>
      <w:pPr>
        <w:spacing w:after="120" w:before="0" w:line="300"/>
        <w:jc w:val="both"/>
      </w:pPr>
      <w:r>
        <w:rPr>
          <w:rFonts w:ascii="Times New Roman" w:cs="Times New Roman" w:eastAsia="Times New Roman" w:hAnsi="Times New Roman"/>
          <w:color w:val="2E2E2E"/>
          <w:sz w:val="22"/>
          <w:szCs w:val="22"/>
        </w:rPr>
        <w:t xml:space="preserve">Japan's dangerous driving provisions carry substantially heavier penalties than negligent driving causing death, and the distinction between them turns on whether the driver knowingly created the risk rather than merely failing to avoid it.</w:t>
      </w:r>
    </w:p>
    <w:p>
      <w:pPr>
        <w:spacing w:after="120" w:before="0" w:line="300"/>
        <w:jc w:val="both"/>
      </w:pPr>
      <w:r>
        <w:rPr>
          <w:rFonts w:ascii="Times New Roman" w:cs="Times New Roman" w:eastAsia="Times New Roman" w:hAnsi="Times New Roman"/>
          <w:color w:val="2E2E2E"/>
          <w:sz w:val="22"/>
          <w:szCs w:val="22"/>
        </w:rPr>
        <w:t xml:space="preserve">Applying that framework to sleep apnea depends on what the driver knew. A diagnosed condition, a prescribed treatment and a decision to drive anyway describe a very different culpability picture from an undiagnosed disorder producing an unforeseeable episode.</w:t>
      </w:r>
    </w:p>
    <w:p>
      <w:pPr>
        <w:spacing w:after="120" w:before="0" w:line="300"/>
        <w:jc w:val="both"/>
      </w:pPr>
      <w:r>
        <w:rPr>
          <w:rFonts w:ascii="Times New Roman" w:cs="Times New Roman" w:eastAsia="Times New Roman" w:hAnsi="Times New Roman"/>
          <w:color w:val="2E2E2E"/>
          <w:sz w:val="22"/>
          <w:szCs w:val="22"/>
        </w:rPr>
        <w:t xml:space="preserve">Sleep apnea's relevance to transport safety is well established in Japan, where a 2003 incident involving a Shinkansen driver brought the condition to national attention and prompted screening requirements across several transport sectors.</w:t>
      </w:r>
    </w:p>
    <w:p>
      <w:pPr>
        <w:spacing w:after="120" w:before="0" w:line="300"/>
        <w:jc w:val="both"/>
      </w:pPr>
      <w:r>
        <w:rPr>
          <w:rFonts w:ascii="Times New Roman" w:cs="Times New Roman" w:eastAsia="Times New Roman" w:hAnsi="Times New Roman"/>
          <w:color w:val="2E2E2E"/>
          <w:sz w:val="22"/>
          <w:szCs w:val="22"/>
        </w:rPr>
        <w:t xml:space="preserve">Those screening regimes apply to professional operators rather than to ordinary licence holders, which is the gap this prosecution sits in, and which is why the case is likely to attract attention beyond its own facts.</w:t>
      </w:r>
    </w:p>
    <w:p>
      <w:pPr>
        <w:spacing w:after="120" w:before="0" w:line="300"/>
        <w:jc w:val="both"/>
      </w:pPr>
      <w:r>
        <w:rPr>
          <w:rFonts w:ascii="Times New Roman" w:cs="Times New Roman" w:eastAsia="Times New Roman" w:hAnsi="Times New Roman"/>
          <w:color w:val="2E2E2E"/>
          <w:sz w:val="22"/>
          <w:szCs w:val="22"/>
        </w:rPr>
        <w:t xml:space="preserve">The outcome will turn on the medical evidence regarding diagnosis and treatment compliance, and on how the court reads the statute's requirement for the driver's own awareness of the risk.</w:t>
      </w:r>
    </w:p>
    <w:p>
      <w:pPr>
        <w:spacing w:after="120" w:before="0" w:line="300"/>
        <w:jc w:val="both"/>
      </w:pPr>
      <w:r>
        <w:rPr>
          <w:rFonts w:ascii="Times New Roman" w:cs="Times New Roman" w:eastAsia="Times New Roman" w:hAnsi="Times New Roman"/>
          <w:color w:val="2E2E2E"/>
          <w:sz w:val="22"/>
          <w:szCs w:val="22"/>
        </w:rPr>
        <w:t xml:space="preserve">Obstructive sleep apnea interrupts breathing repeatedly during sleep, fragmenting rest and producing daytime somnolence that sufferers frequently underestimate because the disruption itself is not remembered.</w:t>
      </w:r>
    </w:p>
    <w:p>
      <w:pPr>
        <w:spacing w:after="120" w:before="0" w:line="300"/>
        <w:jc w:val="both"/>
      </w:pPr>
      <w:r>
        <w:rPr>
          <w:rFonts w:ascii="Times New Roman" w:cs="Times New Roman" w:eastAsia="Times New Roman" w:hAnsi="Times New Roman"/>
          <w:color w:val="2E2E2E"/>
          <w:sz w:val="22"/>
          <w:szCs w:val="22"/>
        </w:rPr>
        <w:t xml:space="preserve">Its relevance to transport safety entered Japanese public awareness in 2003, when a Shinkansen driver was found to have dozed at the controls, an incident that prompted screening requirements across several transport sectors.</w:t>
      </w:r>
    </w:p>
    <w:p>
      <w:pPr>
        <w:spacing w:after="120" w:before="0" w:line="300"/>
        <w:jc w:val="both"/>
      </w:pPr>
      <w:r>
        <w:rPr>
          <w:rFonts w:ascii="Times New Roman" w:cs="Times New Roman" w:eastAsia="Times New Roman" w:hAnsi="Times New Roman"/>
          <w:color w:val="2E2E2E"/>
          <w:sz w:val="22"/>
          <w:szCs w:val="22"/>
        </w:rPr>
        <w:t xml:space="preserve">Those requirements apply to professional operators, with railway and commercial vehicle employers conducting screening and managing treatment compliance as a condition of duty.</w:t>
      </w:r>
    </w:p>
    <w:p>
      <w:pPr>
        <w:spacing w:after="120" w:before="0" w:line="300"/>
        <w:jc w:val="both"/>
      </w:pPr>
      <w:r>
        <w:rPr>
          <w:rFonts w:ascii="Times New Roman" w:cs="Times New Roman" w:eastAsia="Times New Roman" w:hAnsi="Times New Roman"/>
          <w:color w:val="2E2E2E"/>
          <w:sz w:val="22"/>
          <w:szCs w:val="22"/>
        </w:rPr>
        <w:t xml:space="preserve">Ordinary licence holders face no equivalent screening, which is the regulatory gap this prosecution occupies, and which is why the case's outcome may inform future policy discussion.</w:t>
      </w:r>
    </w:p>
    <w:p>
      <w:pPr>
        <w:spacing w:after="120" w:before="0" w:line="300"/>
        <w:jc w:val="both"/>
      </w:pPr>
      <w:r>
        <w:rPr>
          <w:rFonts w:ascii="Times New Roman" w:cs="Times New Roman" w:eastAsia="Times New Roman" w:hAnsi="Times New Roman"/>
          <w:color w:val="2E2E2E"/>
          <w:sz w:val="22"/>
          <w:szCs w:val="22"/>
        </w:rPr>
        <w:t xml:space="preserve">Treatment for the condition is effective when followed, typically involving continuous positive airway pressure equipment, and compliance with prescribed treatment is likely to be central to the culpability assessment.</w:t>
      </w:r>
    </w:p>
    <w:p>
      <w:pPr>
        <w:spacing w:after="120" w:before="0" w:line="300"/>
        <w:jc w:val="both"/>
      </w:pPr>
      <w:r>
        <w:rPr>
          <w:rFonts w:ascii="Times New Roman" w:cs="Times New Roman" w:eastAsia="Times New Roman" w:hAnsi="Times New Roman"/>
          <w:color w:val="2E2E2E"/>
          <w:sz w:val="22"/>
          <w:szCs w:val="22"/>
        </w:rPr>
        <w:t xml:space="preserve">Japan's dangerous driving statute was strengthened following several high-profile fatal cases, expanding the circumstances in which the heavier charge applies, and medical conditions have featured in that expansion.</w:t>
      </w:r>
    </w:p>
    <w:p>
      <w:pPr>
        <w:spacing w:after="200" w:before="40"/>
        <w:jc w:val="right"/>
      </w:pPr>
      <w:r>
        <w:rPr>
          <w:rFonts w:ascii="Helvetica" w:cs="Helvetica" w:eastAsia="Helvetica" w:hAnsi="Helvetica"/>
          <w:i/>
          <w:iCs/>
          <w:color w:val="888888"/>
          <w:sz w:val="16"/>
          <w:szCs w:val="16"/>
        </w:rPr>
        <w:t xml:space="preserve">[379 words]</w:t>
      </w:r>
    </w:p>
    <w:p>
      <w:pPr>
        <w:shd w:fill="0D1B2A" w:color="auto" w:val="clear"/>
        <w:spacing w:after="160" w:before="300"/>
        <w:jc w:val="center"/>
      </w:pPr>
      <w:r>
        <w:rPr>
          <w:rFonts w:ascii="Helvetica" w:cs="Helvetica" w:eastAsia="Helvetica" w:hAnsi="Helvetica"/>
          <w:b/>
          <w:bCs/>
          <w:color w:val="FFFFFF"/>
          <w:sz w:val="24"/>
          <w:szCs w:val="24"/>
        </w:rPr>
        <w:t xml:space="preserve">— SOCIETY —</w:t>
      </w:r>
    </w:p>
    <w:p>
      <w:pPr>
        <w:pBdr>
          <w:top w:val="thick" w:color="9B1B2A" w:sz="18"/>
        </w:pBdr>
        <w:spacing w:after="80" w:before="160"/>
      </w:pPr>
      <w:r>
        <w:rPr>
          <w:rFonts w:ascii="Times New Roman" w:cs="Times New Roman" w:eastAsia="Times New Roman" w:hAnsi="Times New Roman"/>
          <w:b/>
          <w:bCs/>
          <w:color w:val="0D1B2A"/>
          <w:sz w:val="40"/>
          <w:szCs w:val="40"/>
        </w:rPr>
        <w:t xml:space="preserve">Yamanashi to Charge for Off-Season Mt. Fuji Rescue Flights</w:t>
      </w:r>
    </w:p>
    <w:p>
      <w:pPr>
        <w:spacing w:after="40" w:before="40"/>
      </w:pPr>
      <w:r>
        <w:rPr>
          <w:rFonts w:ascii="Times New Roman" w:cs="Times New Roman" w:eastAsia="Times New Roman" w:hAnsi="Times New Roman"/>
          <w:i/>
          <w:iCs/>
          <w:color w:val="9B1B2A"/>
          <w:sz w:val="22"/>
          <w:szCs w:val="22"/>
        </w:rPr>
        <w:t xml:space="preserve">Shizuoka will require climbing notifications but has stopped short of billing for helicopter rescues, leaving the two prefectures sharing a mountain and splitting on policy</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Yamanashi Prefecture will begin charging for helicopter rescues on Mount Fuji during the off-season, recovering fuel and related costs, and will introduce a system for confirming climbing plans, according to Asahi Shimbun and Yomiuri Shimbun. The prefecture is aiming to introduce the measures in September of next year.</w:t>
      </w:r>
    </w:p>
    <w:p>
      <w:pPr>
        <w:spacing w:after="120" w:before="0" w:line="300"/>
        <w:jc w:val="both"/>
      </w:pPr>
      <w:r>
        <w:rPr>
          <w:rFonts w:ascii="Times New Roman" w:cs="Times New Roman" w:eastAsia="Times New Roman" w:hAnsi="Times New Roman"/>
          <w:color w:val="2E2E2E"/>
          <w:sz w:val="22"/>
          <w:szCs w:val="22"/>
        </w:rPr>
        <w:t xml:space="preserve">Shizuoka Prefecture, which administers the mountain's southern approaches, will make climbing notification mandatory but will not charge a fee, leaving the two prefectures that share Japan's most famous peak applying different rules to the same climbers.</w:t>
      </w:r>
    </w:p>
    <w:p>
      <w:pPr>
        <w:spacing w:after="120" w:before="0" w:line="300"/>
        <w:jc w:val="both"/>
      </w:pPr>
      <w:r>
        <w:rPr>
          <w:rFonts w:ascii="Times New Roman" w:cs="Times New Roman" w:eastAsia="Times New Roman" w:hAnsi="Times New Roman"/>
          <w:color w:val="2E2E2E"/>
          <w:sz w:val="22"/>
          <w:szCs w:val="22"/>
        </w:rPr>
        <w:t xml:space="preserve">Off-season climbing is the specific target. Once the official summer season closes, the mountain huts shut, the weather turns and the margin for error narrows sharply, yet climbers continue attempting the summit and rescue crews continue being called out for them.</w:t>
      </w:r>
    </w:p>
    <w:p>
      <w:pPr>
        <w:spacing w:after="120" w:before="0" w:line="300"/>
        <w:jc w:val="both"/>
      </w:pPr>
      <w:r>
        <w:rPr>
          <w:rFonts w:ascii="Times New Roman" w:cs="Times New Roman" w:eastAsia="Times New Roman" w:hAnsi="Times New Roman"/>
          <w:color w:val="2E2E2E"/>
          <w:sz w:val="22"/>
          <w:szCs w:val="22"/>
        </w:rPr>
        <w:t xml:space="preserve">Charging for rescue is a genuinely contested idea in mountain safety circles. Supporters argue it forces climbers to internalise the cost of unnecessary risk. Critics counter that it may deter people from calling for help until a recoverable situation has become an unrecoverable one.</w:t>
      </w:r>
    </w:p>
    <w:p>
      <w:pPr>
        <w:spacing w:after="120" w:before="0" w:line="300"/>
        <w:jc w:val="both"/>
      </w:pPr>
      <w:r>
        <w:rPr>
          <w:rFonts w:ascii="Times New Roman" w:cs="Times New Roman" w:eastAsia="Times New Roman" w:hAnsi="Times New Roman"/>
          <w:color w:val="2E2E2E"/>
          <w:sz w:val="22"/>
          <w:szCs w:val="22"/>
        </w:rPr>
        <w:t xml:space="preserve">The climbing plan confirmation system is the less divisive half of the package and probably the more useful one, since knowing who is on the mountain and by which route is what allows a search to begin in the right place.</w:t>
      </w:r>
    </w:p>
    <w:p>
      <w:pPr>
        <w:spacing w:after="120" w:before="0" w:line="300"/>
        <w:jc w:val="both"/>
      </w:pPr>
      <w:r>
        <w:rPr>
          <w:rFonts w:ascii="Times New Roman" w:cs="Times New Roman" w:eastAsia="Times New Roman" w:hAnsi="Times New Roman"/>
          <w:color w:val="2E2E2E"/>
          <w:sz w:val="22"/>
          <w:szCs w:val="22"/>
        </w:rPr>
        <w:t xml:space="preserve">Mount Fuji's popularity has produced sustained overcrowding problems during the official season, prompting the entry fees and daily climber caps introduced in recent years. The off-season measures extend that management approach into the months when the mountain is most dangerous and least supervised.</w:t>
      </w:r>
    </w:p>
    <w:p>
      <w:pPr>
        <w:spacing w:after="120" w:before="0" w:line="300"/>
        <w:jc w:val="both"/>
      </w:pPr>
      <w:r>
        <w:rPr>
          <w:rFonts w:ascii="Times New Roman" w:cs="Times New Roman" w:eastAsia="Times New Roman" w:hAnsi="Times New Roman"/>
          <w:color w:val="2E2E2E"/>
          <w:sz w:val="22"/>
          <w:szCs w:val="22"/>
        </w:rPr>
        <w:t xml:space="preserve">This year's summer season saw six climbing deaths, a toll that forms the immediate backdrop to Yamanashi's decision.</w:t>
      </w:r>
    </w:p>
    <w:p>
      <w:pPr>
        <w:spacing w:after="120" w:before="0" w:line="300"/>
        <w:jc w:val="both"/>
      </w:pPr>
      <w:r>
        <w:rPr>
          <w:rFonts w:ascii="Times New Roman" w:cs="Times New Roman" w:eastAsia="Times New Roman" w:hAnsi="Times New Roman"/>
          <w:color w:val="2E2E2E"/>
          <w:sz w:val="22"/>
          <w:szCs w:val="22"/>
        </w:rPr>
        <w:t xml:space="preserve">Whether two prefectures can sustain divergent rules on a single mountain is the practical question the September 2027 start date leaves open, since climbers do not encounter administrative boundaries on the way up.</w:t>
      </w:r>
    </w:p>
    <w:p>
      <w:pPr>
        <w:spacing w:after="120" w:before="0" w:line="300"/>
        <w:jc w:val="both"/>
      </w:pPr>
      <w:r>
        <w:rPr>
          <w:rFonts w:ascii="Times New Roman" w:cs="Times New Roman" w:eastAsia="Times New Roman" w:hAnsi="Times New Roman"/>
          <w:color w:val="2E2E2E"/>
          <w:sz w:val="22"/>
          <w:szCs w:val="22"/>
        </w:rPr>
        <w:t xml:space="preserve">Mount Fuji's official climbing season runs from early July to early September, a window determined by snow conditions and the operating period of the mountain huts that supply food, shelter and emergency refuge along the routes.</w:t>
      </w:r>
    </w:p>
    <w:p>
      <w:pPr>
        <w:spacing w:after="120" w:before="0" w:line="300"/>
        <w:jc w:val="both"/>
      </w:pPr>
      <w:r>
        <w:rPr>
          <w:rFonts w:ascii="Times New Roman" w:cs="Times New Roman" w:eastAsia="Times New Roman" w:hAnsi="Times New Roman"/>
          <w:color w:val="2E2E2E"/>
          <w:sz w:val="22"/>
          <w:szCs w:val="22"/>
        </w:rPr>
        <w:t xml:space="preserve">Outside that window the huts close, the first aid stations are unstaffed and the trails are formally discouraged rather than prohibited, a status that leaves off-season climbers legally free to attempt the summit and practically unsupported if anything goes wrong.</w:t>
      </w:r>
    </w:p>
    <w:p>
      <w:pPr>
        <w:spacing w:after="120" w:before="0" w:line="300"/>
        <w:jc w:val="both"/>
      </w:pPr>
      <w:r>
        <w:rPr>
          <w:rFonts w:ascii="Times New Roman" w:cs="Times New Roman" w:eastAsia="Times New Roman" w:hAnsi="Times New Roman"/>
          <w:color w:val="2E2E2E"/>
          <w:sz w:val="22"/>
          <w:szCs w:val="22"/>
        </w:rPr>
        <w:t xml:space="preserve">The mountain's accessibility is part of the problem. A peak reachable by bus from Tokyo in a few hours attracts climbers whose preparation reflects the journey's convenience rather than the ascent's actual demands.</w:t>
      </w:r>
    </w:p>
    <w:p>
      <w:pPr>
        <w:spacing w:after="120" w:before="0" w:line="300"/>
        <w:jc w:val="both"/>
      </w:pPr>
      <w:r>
        <w:rPr>
          <w:rFonts w:ascii="Times New Roman" w:cs="Times New Roman" w:eastAsia="Times New Roman" w:hAnsi="Times New Roman"/>
          <w:color w:val="2E2E2E"/>
          <w:sz w:val="22"/>
          <w:szCs w:val="22"/>
        </w:rPr>
        <w:t xml:space="preserve">Yamanashi introduced an entry fee and a daily climber cap during the official season in recent years, measures aimed at congestion and at the phenomenon of overnight ascents undertaken without rest or adequate equipment.</w:t>
      </w:r>
    </w:p>
    <w:p>
      <w:pPr>
        <w:spacing w:after="120" w:before="0" w:line="300"/>
        <w:jc w:val="both"/>
      </w:pPr>
      <w:r>
        <w:rPr>
          <w:rFonts w:ascii="Times New Roman" w:cs="Times New Roman" w:eastAsia="Times New Roman" w:hAnsi="Times New Roman"/>
          <w:color w:val="2E2E2E"/>
          <w:sz w:val="22"/>
          <w:szCs w:val="22"/>
        </w:rPr>
        <w:t xml:space="preserve">Helicopter rescue is expensive and hazardous for the crews conducting it, particularly in the wind conditions common on an exposed volcanic cone above three thousand metres.</w:t>
      </w:r>
    </w:p>
    <w:p>
      <w:pPr>
        <w:spacing w:after="120" w:before="0" w:line="300"/>
        <w:jc w:val="both"/>
      </w:pPr>
      <w:r>
        <w:rPr>
          <w:rFonts w:ascii="Times New Roman" w:cs="Times New Roman" w:eastAsia="Times New Roman" w:hAnsi="Times New Roman"/>
          <w:color w:val="2E2E2E"/>
          <w:sz w:val="22"/>
          <w:szCs w:val="22"/>
        </w:rPr>
        <w:t xml:space="preserve">The climbing plan system addresses a separate problem from cost. Search operations begin with the question of where to look, and a filed route and schedule converts an open-ended search into a targeted one.</w:t>
      </w:r>
    </w:p>
    <w:p>
      <w:pPr>
        <w:spacing w:after="120" w:before="0" w:line="300"/>
        <w:jc w:val="both"/>
      </w:pPr>
      <w:r>
        <w:rPr>
          <w:rFonts w:ascii="Times New Roman" w:cs="Times New Roman" w:eastAsia="Times New Roman" w:hAnsi="Times New Roman"/>
          <w:color w:val="2E2E2E"/>
          <w:sz w:val="22"/>
          <w:szCs w:val="22"/>
        </w:rPr>
        <w:t xml:space="preserve">Six deaths during this year's summer season form the immediate context for the decision, a toll that has prompted renewed examination of how the mountain is managed year-round rather than only during the official period.</w:t>
      </w:r>
    </w:p>
    <w:p>
      <w:pPr>
        <w:spacing w:after="120" w:before="0" w:line="300"/>
        <w:jc w:val="both"/>
      </w:pPr>
      <w:r>
        <w:rPr>
          <w:rFonts w:ascii="Times New Roman" w:cs="Times New Roman" w:eastAsia="Times New Roman" w:hAnsi="Times New Roman"/>
          <w:color w:val="2E2E2E"/>
          <w:sz w:val="22"/>
          <w:szCs w:val="22"/>
        </w:rPr>
        <w:t xml:space="preserve">Mount Fuji was inscribed as a UNESCO World Heritage site in 2013 as a cultural rather than natural property, recognition tied to its place in Japanese religious and artistic tradition.</w:t>
      </w:r>
    </w:p>
    <w:p>
      <w:pPr>
        <w:spacing w:after="120" w:before="0" w:line="300"/>
        <w:jc w:val="both"/>
      </w:pPr>
      <w:r>
        <w:rPr>
          <w:rFonts w:ascii="Times New Roman" w:cs="Times New Roman" w:eastAsia="Times New Roman" w:hAnsi="Times New Roman"/>
          <w:color w:val="2E2E2E"/>
          <w:sz w:val="22"/>
          <w:szCs w:val="22"/>
        </w:rPr>
        <w:t xml:space="preserve">That designation brought increased international visitor numbers and, with them, a management problem that the prefectures have addressed through successive measures over the past decade.</w:t>
      </w:r>
    </w:p>
    <w:p>
      <w:pPr>
        <w:spacing w:after="120" w:before="0" w:line="300"/>
        <w:jc w:val="both"/>
      </w:pPr>
      <w:r>
        <w:rPr>
          <w:rFonts w:ascii="Times New Roman" w:cs="Times New Roman" w:eastAsia="Times New Roman" w:hAnsi="Times New Roman"/>
          <w:color w:val="2E2E2E"/>
          <w:sz w:val="22"/>
          <w:szCs w:val="22"/>
        </w:rPr>
        <w:t xml:space="preserve">Climbers unfamiliar with the mountain frequently underestimate the altitude, which reaches 3,776 metres and produces conditions closer to alpine mountaineering than the day hike the summit's accessibility suggests.</w:t>
      </w:r>
    </w:p>
    <w:p>
      <w:pPr>
        <w:spacing w:after="200" w:before="40"/>
        <w:jc w:val="right"/>
      </w:pPr>
      <w:r>
        <w:rPr>
          <w:rFonts w:ascii="Helvetica" w:cs="Helvetica" w:eastAsia="Helvetica" w:hAnsi="Helvetica"/>
          <w:i/>
          <w:iCs/>
          <w:color w:val="888888"/>
          <w:sz w:val="16"/>
          <w:szCs w:val="16"/>
        </w:rPr>
        <w:t xml:space="preserve">[625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198 Foreign Object Cases in Yokohama Junior High School Lunches</w:t>
      </w:r>
    </w:p>
    <w:p>
      <w:pPr>
        <w:spacing w:after="40" w:before="40"/>
      </w:pPr>
      <w:r>
        <w:rPr>
          <w:rFonts w:ascii="Times New Roman" w:cs="Times New Roman" w:eastAsia="Times New Roman" w:hAnsi="Times New Roman"/>
          <w:i/>
          <w:iCs/>
          <w:color w:val="9B1B2A"/>
          <w:sz w:val="22"/>
          <w:szCs w:val="22"/>
        </w:rPr>
        <w:t xml:space="preserve">The first-semester figure runs more than thirteen times the rate recorded in the city's elementary schools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Yokohama municipal junior high schools recorded 198 cases of foreign object contamination in school lunches during the first semester, more than thirteen times the number logged in the city's elementary schools, according to an exclusive report by Sankei News.</w:t>
      </w:r>
    </w:p>
    <w:p>
      <w:pPr>
        <w:spacing w:after="120" w:before="0" w:line="300"/>
        <w:jc w:val="both"/>
      </w:pPr>
      <w:r>
        <w:rPr>
          <w:rFonts w:ascii="Times New Roman" w:cs="Times New Roman" w:eastAsia="Times New Roman" w:hAnsi="Times New Roman"/>
          <w:color w:val="2E2E2E"/>
          <w:sz w:val="22"/>
          <w:szCs w:val="22"/>
        </w:rPr>
        <w:t xml:space="preserve">The gap between the two figures is what makes this a story rather than a statistic. Elementary and junior high pupils in the same city eat lunches produced under the same municipal system, so a thirteenfold difference points to something structural rather than to bad luck.</w:t>
      </w:r>
    </w:p>
    <w:p>
      <w:pPr>
        <w:spacing w:after="120" w:before="0" w:line="300"/>
        <w:jc w:val="both"/>
      </w:pPr>
      <w:r>
        <w:rPr>
          <w:rFonts w:ascii="Times New Roman" w:cs="Times New Roman" w:eastAsia="Times New Roman" w:hAnsi="Times New Roman"/>
          <w:color w:val="2E2E2E"/>
          <w:sz w:val="22"/>
          <w:szCs w:val="22"/>
        </w:rPr>
        <w:t xml:space="preserve">Yokohama's junior high school lunch programme has a particular history. The city introduced full-scale delivered lunches for junior high schools considerably later than for elementary schools, relying on a centralised delivery model rather than the school-kitchen preparation long used at the elementary level.</w:t>
      </w:r>
    </w:p>
    <w:p>
      <w:pPr>
        <w:spacing w:after="120" w:before="0" w:line="300"/>
        <w:jc w:val="both"/>
      </w:pPr>
      <w:r>
        <w:rPr>
          <w:rFonts w:ascii="Times New Roman" w:cs="Times New Roman" w:eastAsia="Times New Roman" w:hAnsi="Times New Roman"/>
          <w:color w:val="2E2E2E"/>
          <w:sz w:val="22"/>
          <w:szCs w:val="22"/>
        </w:rPr>
        <w:t xml:space="preserve">That distinction supplies the most plausible line of inquiry. Centralised production and delivery introduce handling stages, transport and packaging steps that kitchen-to-classroom preparation does not, and every additional stage is an additional opportunity for contamination.</w:t>
      </w:r>
    </w:p>
    <w:p>
      <w:pPr>
        <w:spacing w:after="120" w:before="0" w:line="300"/>
        <w:jc w:val="both"/>
      </w:pPr>
      <w:r>
        <w:rPr>
          <w:rFonts w:ascii="Times New Roman" w:cs="Times New Roman" w:eastAsia="Times New Roman" w:hAnsi="Times New Roman"/>
          <w:color w:val="2E2E2E"/>
          <w:sz w:val="22"/>
          <w:szCs w:val="22"/>
        </w:rPr>
        <w:t xml:space="preserve">Foreign object cases cover a wide range in practice, from hair and packaging fragments to harder materials carrying genuine injury risk, and the aggregate figure does not by itself indicate how serious the individual incidents were.</w:t>
      </w:r>
    </w:p>
    <w:p>
      <w:pPr>
        <w:spacing w:after="120" w:before="0" w:line="300"/>
        <w:jc w:val="both"/>
      </w:pPr>
      <w:r>
        <w:rPr>
          <w:rFonts w:ascii="Times New Roman" w:cs="Times New Roman" w:eastAsia="Times New Roman" w:hAnsi="Times New Roman"/>
          <w:color w:val="2E2E2E"/>
          <w:sz w:val="22"/>
          <w:szCs w:val="22"/>
        </w:rPr>
        <w:t xml:space="preserve">Parents and school councils are likely to press for the breakdown, since 198 cases of plastic film is a different problem from 198 cases involving metal, and the response each warrants differs accordingly.</w:t>
      </w:r>
    </w:p>
    <w:p>
      <w:pPr>
        <w:spacing w:after="120" w:before="0" w:line="300"/>
        <w:jc w:val="both"/>
      </w:pPr>
      <w:r>
        <w:rPr>
          <w:rFonts w:ascii="Times New Roman" w:cs="Times New Roman" w:eastAsia="Times New Roman" w:hAnsi="Times New Roman"/>
          <w:color w:val="2E2E2E"/>
          <w:sz w:val="22"/>
          <w:szCs w:val="22"/>
        </w:rPr>
        <w:t xml:space="preserve">Municipal education boards typically respond to figures of this kind with supplier audits and revised inspection protocols, though the more consequential question is whether the delivery model itself requires rethinking.</w:t>
      </w:r>
    </w:p>
    <w:p>
      <w:pPr>
        <w:spacing w:after="120" w:before="0" w:line="300"/>
        <w:jc w:val="both"/>
      </w:pPr>
      <w:r>
        <w:rPr>
          <w:rFonts w:ascii="Times New Roman" w:cs="Times New Roman" w:eastAsia="Times New Roman" w:hAnsi="Times New Roman"/>
          <w:color w:val="2E2E2E"/>
          <w:sz w:val="22"/>
          <w:szCs w:val="22"/>
        </w:rPr>
        <w:t xml:space="preserve">Japan's school lunch programme has operated nationally since the postwar period and is regarded as an element of education rather than merely catering, with nutritional standards set centrally and meals frequently used to teach dietary habits.</w:t>
      </w:r>
    </w:p>
    <w:p>
      <w:pPr>
        <w:spacing w:after="120" w:before="0" w:line="300"/>
        <w:jc w:val="both"/>
      </w:pPr>
      <w:r>
        <w:rPr>
          <w:rFonts w:ascii="Times New Roman" w:cs="Times New Roman" w:eastAsia="Times New Roman" w:hAnsi="Times New Roman"/>
          <w:color w:val="2E2E2E"/>
          <w:sz w:val="22"/>
          <w:szCs w:val="22"/>
        </w:rPr>
        <w:t xml:space="preserve">Elementary schools have historically prepared meals on site or in district kitchens serving a small cluster of nearby schools, a model that keeps preparation close to consumption and shortens the handling chain considerably.</w:t>
      </w:r>
    </w:p>
    <w:p>
      <w:pPr>
        <w:spacing w:after="120" w:before="0" w:line="300"/>
        <w:jc w:val="both"/>
      </w:pPr>
      <w:r>
        <w:rPr>
          <w:rFonts w:ascii="Times New Roman" w:cs="Times New Roman" w:eastAsia="Times New Roman" w:hAnsi="Times New Roman"/>
          <w:color w:val="2E2E2E"/>
          <w:sz w:val="22"/>
          <w:szCs w:val="22"/>
        </w:rPr>
        <w:t xml:space="preserve">Junior high school provision developed later and unevenly across municipalities, with some cities maintaining the kitchen model and others adopting delivered lunches supplied by contracted caterers.</w:t>
      </w:r>
    </w:p>
    <w:p>
      <w:pPr>
        <w:spacing w:after="120" w:before="0" w:line="300"/>
        <w:jc w:val="both"/>
      </w:pPr>
      <w:r>
        <w:rPr>
          <w:rFonts w:ascii="Times New Roman" w:cs="Times New Roman" w:eastAsia="Times New Roman" w:hAnsi="Times New Roman"/>
          <w:color w:val="2E2E2E"/>
          <w:sz w:val="22"/>
          <w:szCs w:val="22"/>
        </w:rPr>
        <w:t xml:space="preserve">Yokohama's adoption of a delivery model for junior high schools was itself a policy decision taken after extended debate about cost, capacity and whether junior high pupils required the same provision as younger children.</w:t>
      </w:r>
    </w:p>
    <w:p>
      <w:pPr>
        <w:spacing w:after="120" w:before="0" w:line="300"/>
        <w:jc w:val="both"/>
      </w:pPr>
      <w:r>
        <w:rPr>
          <w:rFonts w:ascii="Times New Roman" w:cs="Times New Roman" w:eastAsia="Times New Roman" w:hAnsi="Times New Roman"/>
          <w:color w:val="2E2E2E"/>
          <w:sz w:val="22"/>
          <w:szCs w:val="22"/>
        </w:rPr>
        <w:t xml:space="preserve">The contamination figures now supply an argument to those who opposed that choice, though the data alone cannot establish whether the model or its execution is responsible.</w:t>
      </w:r>
    </w:p>
    <w:p>
      <w:pPr>
        <w:spacing w:after="120" w:before="0" w:line="300"/>
        <w:jc w:val="both"/>
      </w:pPr>
      <w:r>
        <w:rPr>
          <w:rFonts w:ascii="Times New Roman" w:cs="Times New Roman" w:eastAsia="Times New Roman" w:hAnsi="Times New Roman"/>
          <w:color w:val="2E2E2E"/>
          <w:sz w:val="22"/>
          <w:szCs w:val="22"/>
        </w:rPr>
        <w:t xml:space="preserve">Municipal education boards typically respond with supplier inspections and revised handling protocols, measures that address execution within the existing arrangement.</w:t>
      </w:r>
    </w:p>
    <w:p>
      <w:pPr>
        <w:spacing w:after="120" w:before="0" w:line="300"/>
        <w:jc w:val="both"/>
      </w:pPr>
      <w:r>
        <w:rPr>
          <w:rFonts w:ascii="Times New Roman" w:cs="Times New Roman" w:eastAsia="Times New Roman" w:hAnsi="Times New Roman"/>
          <w:color w:val="2E2E2E"/>
          <w:sz w:val="22"/>
          <w:szCs w:val="22"/>
        </w:rPr>
        <w:t xml:space="preserve">What the 198 cases actually comprised will determine how serious a finding this is, since the category spans hair and packaging film at one end and hard fragments carrying genuine injury risk at the other.</w:t>
      </w:r>
    </w:p>
    <w:p>
      <w:pPr>
        <w:spacing w:after="200" w:before="40"/>
        <w:jc w:val="right"/>
      </w:pPr>
      <w:r>
        <w:rPr>
          <w:rFonts w:ascii="Helvetica" w:cs="Helvetica" w:eastAsia="Helvetica" w:hAnsi="Helvetica"/>
          <w:i/>
          <w:iCs/>
          <w:color w:val="888888"/>
          <w:sz w:val="16"/>
          <w:szCs w:val="16"/>
        </w:rPr>
        <w:t xml:space="preserve">[473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Applications Open for the Common University Entrance Examination</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Applications for the Common University Entrance Examination open Tuesday and run online until October 2, according to Sankei News, beginning the administrative sequence that culminates in the January test around which most Japanese university admissions turn.</w:t>
      </w:r>
    </w:p>
    <w:p>
      <w:pPr>
        <w:spacing w:after="120" w:before="0" w:line="300"/>
        <w:jc w:val="both"/>
      </w:pPr>
      <w:r>
        <w:rPr>
          <w:rFonts w:ascii="Times New Roman" w:cs="Times New Roman" w:eastAsia="Times New Roman" w:hAnsi="Times New Roman"/>
          <w:color w:val="2E2E2E"/>
          <w:sz w:val="22"/>
          <w:szCs w:val="22"/>
        </w:rPr>
        <w:t xml:space="preserve">The examination is the central gate in Japanese higher education, taken by the large majority of applicants to national and public universities and by many private university candidates through various admissions routes.</w:t>
      </w:r>
    </w:p>
    <w:p>
      <w:pPr>
        <w:spacing w:after="120" w:before="0" w:line="300"/>
        <w:jc w:val="both"/>
      </w:pPr>
      <w:r>
        <w:rPr>
          <w:rFonts w:ascii="Times New Roman" w:cs="Times New Roman" w:eastAsia="Times New Roman" w:hAnsi="Times New Roman"/>
          <w:color w:val="2E2E2E"/>
          <w:sz w:val="22"/>
          <w:szCs w:val="22"/>
        </w:rPr>
        <w:t xml:space="preserve">Online application has replaced much of the paper process in recent years, a shift that has reduced administrative burden while introducing the familiar digital-era failure modes of system load and access difficulties near deadlines.</w:t>
      </w:r>
    </w:p>
    <w:p>
      <w:pPr>
        <w:spacing w:after="120" w:before="0" w:line="300"/>
        <w:jc w:val="both"/>
      </w:pPr>
      <w:r>
        <w:rPr>
          <w:rFonts w:ascii="Times New Roman" w:cs="Times New Roman" w:eastAsia="Times New Roman" w:hAnsi="Times New Roman"/>
          <w:color w:val="2E2E2E"/>
          <w:sz w:val="22"/>
          <w:szCs w:val="22"/>
        </w:rPr>
        <w:t xml:space="preserve">For third-year high school students, the application window marks the point at which an abstract future commitment becomes a concrete set of choices, with subject selections narrowing the range of institutions realistically available afterward.</w:t>
      </w:r>
    </w:p>
    <w:p>
      <w:pPr>
        <w:spacing w:after="120" w:before="0" w:line="300"/>
        <w:jc w:val="both"/>
      </w:pPr>
      <w:r>
        <w:rPr>
          <w:rFonts w:ascii="Times New Roman" w:cs="Times New Roman" w:eastAsia="Times New Roman" w:hAnsi="Times New Roman"/>
          <w:color w:val="2E2E2E"/>
          <w:sz w:val="22"/>
          <w:szCs w:val="22"/>
        </w:rPr>
        <w:t xml:space="preserve">The examination has undergone repeated reform over the past decade, with changes to subject structure and question format intended to test reasoning rather than recall, though critics maintain the reforms have not altered the fundamental character of the preparation industry surrounding it.</w:t>
      </w:r>
    </w:p>
    <w:p>
      <w:pPr>
        <w:spacing w:after="120" w:before="0" w:line="300"/>
        <w:jc w:val="both"/>
      </w:pPr>
      <w:r>
        <w:rPr>
          <w:rFonts w:ascii="Times New Roman" w:cs="Times New Roman" w:eastAsia="Times New Roman" w:hAnsi="Times New Roman"/>
          <w:color w:val="2E2E2E"/>
          <w:sz w:val="22"/>
          <w:szCs w:val="22"/>
        </w:rPr>
        <w:t xml:space="preserve">The October 2 deadline leaves roughly two and a half weeks, a window schools typically use for final guidance sessions with students still weighing subject combinations.</w:t>
      </w:r>
    </w:p>
    <w:p>
      <w:pPr>
        <w:spacing w:after="120" w:before="0" w:line="300"/>
        <w:jc w:val="both"/>
      </w:pPr>
      <w:r>
        <w:rPr>
          <w:rFonts w:ascii="Times New Roman" w:cs="Times New Roman" w:eastAsia="Times New Roman" w:hAnsi="Times New Roman"/>
          <w:color w:val="2E2E2E"/>
          <w:sz w:val="22"/>
          <w:szCs w:val="22"/>
        </w:rPr>
        <w:t xml:space="preserve">The Common Test replaced the earlier National Center Test in 2021, part of a reform intended to shift assessment away from recall toward reasoning, though the extent of the resulting change has been debated since.</w:t>
      </w:r>
    </w:p>
    <w:p>
      <w:pPr>
        <w:spacing w:after="120" w:before="0" w:line="300"/>
        <w:jc w:val="both"/>
      </w:pPr>
      <w:r>
        <w:rPr>
          <w:rFonts w:ascii="Times New Roman" w:cs="Times New Roman" w:eastAsia="Times New Roman" w:hAnsi="Times New Roman"/>
          <w:color w:val="2E2E2E"/>
          <w:sz w:val="22"/>
          <w:szCs w:val="22"/>
        </w:rPr>
        <w:t xml:space="preserve">Roughly half a million candidates sit the examination annually, taken over two days in mid-January at venues nationwide, with results feeding into applications to national, public and many private universities.</w:t>
      </w:r>
    </w:p>
    <w:p>
      <w:pPr>
        <w:spacing w:after="120" w:before="0" w:line="300"/>
        <w:jc w:val="both"/>
      </w:pPr>
      <w:r>
        <w:rPr>
          <w:rFonts w:ascii="Times New Roman" w:cs="Times New Roman" w:eastAsia="Times New Roman" w:hAnsi="Times New Roman"/>
          <w:color w:val="2E2E2E"/>
          <w:sz w:val="22"/>
          <w:szCs w:val="22"/>
        </w:rPr>
        <w:t xml:space="preserve">National and public universities typically require the Common Test alongside their own secondary examinations, a two-stage structure that concentrates enormous weight on a short period in the academic calendar.</w:t>
      </w:r>
    </w:p>
    <w:p>
      <w:pPr>
        <w:spacing w:after="120" w:before="0" w:line="300"/>
        <w:jc w:val="both"/>
      </w:pPr>
      <w:r>
        <w:rPr>
          <w:rFonts w:ascii="Times New Roman" w:cs="Times New Roman" w:eastAsia="Times New Roman" w:hAnsi="Times New Roman"/>
          <w:color w:val="2E2E2E"/>
          <w:sz w:val="22"/>
          <w:szCs w:val="22"/>
        </w:rPr>
        <w:t xml:space="preserve">Subject selection at the application stage constrains which institutions and faculties remain accessible, which is why schools devote considerable guidance time to the decision in the weeks before the deadline.</w:t>
      </w:r>
    </w:p>
    <w:p>
      <w:pPr>
        <w:spacing w:after="120" w:before="0" w:line="300"/>
        <w:jc w:val="both"/>
      </w:pPr>
      <w:r>
        <w:rPr>
          <w:rFonts w:ascii="Times New Roman" w:cs="Times New Roman" w:eastAsia="Times New Roman" w:hAnsi="Times New Roman"/>
          <w:color w:val="2E2E2E"/>
          <w:sz w:val="22"/>
          <w:szCs w:val="22"/>
        </w:rPr>
        <w:t xml:space="preserve">The preparatory education industry surrounding the examination is substantial, with cram schools and specialist publishers forming an economy of their own around test preparation.</w:t>
      </w:r>
    </w:p>
    <w:p>
      <w:pPr>
        <w:spacing w:after="120" w:before="0" w:line="300"/>
        <w:jc w:val="both"/>
      </w:pPr>
      <w:r>
        <w:rPr>
          <w:rFonts w:ascii="Times New Roman" w:cs="Times New Roman" w:eastAsia="Times New Roman" w:hAnsi="Times New Roman"/>
          <w:color w:val="2E2E2E"/>
          <w:sz w:val="22"/>
          <w:szCs w:val="22"/>
        </w:rPr>
        <w:t xml:space="preserve">Winter illness has complicated the examination in recent years, prompting arrangements for candidates unable to sit on the scheduled dates.</w:t>
      </w:r>
    </w:p>
    <w:p>
      <w:pPr>
        <w:spacing w:after="200" w:before="40"/>
        <w:jc w:val="right"/>
      </w:pPr>
      <w:r>
        <w:rPr>
          <w:rFonts w:ascii="Helvetica" w:cs="Helvetica" w:eastAsia="Helvetica" w:hAnsi="Helvetica"/>
          <w:i/>
          <w:iCs/>
          <w:color w:val="888888"/>
          <w:sz w:val="16"/>
          <w:szCs w:val="16"/>
        </w:rPr>
        <w:t xml:space="preserve">[372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Family of Student Lost in Henoko Capsizing Urges Shared Responsibility</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A teacher at Doshisha International High School has died, and the family of a student who died in the Henoko offshore capsizing accident said that everyone should share the weight of what happened, according to Sankei News.</w:t>
      </w:r>
    </w:p>
    <w:p>
      <w:pPr>
        <w:spacing w:after="120" w:before="0" w:line="300"/>
        <w:jc w:val="both"/>
      </w:pPr>
      <w:r>
        <w:rPr>
          <w:rFonts w:ascii="Times New Roman" w:cs="Times New Roman" w:eastAsia="Times New Roman" w:hAnsi="Times New Roman"/>
          <w:color w:val="2E2E2E"/>
          <w:sz w:val="22"/>
          <w:szCs w:val="22"/>
        </w:rPr>
        <w:t xml:space="preserve">The family's phrasing is notable for what it declines to do. Rather than assigning blame to any single party, the words ask that responsibility be held collectively, a formulation that carries considerable moral force precisely because it forgoes the easier path of accusation.</w:t>
      </w:r>
    </w:p>
    <w:p>
      <w:pPr>
        <w:spacing w:after="120" w:before="0" w:line="300"/>
        <w:jc w:val="both"/>
      </w:pPr>
      <w:r>
        <w:rPr>
          <w:rFonts w:ascii="Times New Roman" w:cs="Times New Roman" w:eastAsia="Times New Roman" w:hAnsi="Times New Roman"/>
          <w:color w:val="2E2E2E"/>
          <w:sz w:val="22"/>
          <w:szCs w:val="22"/>
        </w:rPr>
        <w:t xml:space="preserve">School-organised activities on or near water carry safety obligations that are clear in principle and difficult in practice, resting on risk assessments made in advance by people who cannot fully anticipate conditions on the day.</w:t>
      </w:r>
    </w:p>
    <w:p>
      <w:pPr>
        <w:spacing w:after="120" w:before="0" w:line="300"/>
        <w:jc w:val="both"/>
      </w:pPr>
      <w:r>
        <w:rPr>
          <w:rFonts w:ascii="Times New Roman" w:cs="Times New Roman" w:eastAsia="Times New Roman" w:hAnsi="Times New Roman"/>
          <w:color w:val="2E2E2E"/>
          <w:sz w:val="22"/>
          <w:szCs w:val="22"/>
        </w:rPr>
        <w:t xml:space="preserve">Japanese schools have tightened marine and outdoor activity protocols repeatedly following incidents of this kind, though each revision tends to address the specific failure most recently demonstrated rather than the general problem of supervised risk.</w:t>
      </w:r>
    </w:p>
    <w:p>
      <w:pPr>
        <w:spacing w:after="120" w:before="0" w:line="300"/>
        <w:jc w:val="both"/>
      </w:pPr>
      <w:r>
        <w:rPr>
          <w:rFonts w:ascii="Times New Roman" w:cs="Times New Roman" w:eastAsia="Times New Roman" w:hAnsi="Times New Roman"/>
          <w:color w:val="2E2E2E"/>
          <w:sz w:val="22"/>
          <w:szCs w:val="22"/>
        </w:rPr>
        <w:t xml:space="preserve">The waters off Henoko carry their own particular associations given the long-running base relocation dispute there, though nothing in the reporting connects the capsizing to that context beyond geography.</w:t>
      </w:r>
    </w:p>
    <w:p>
      <w:pPr>
        <w:spacing w:after="120" w:before="0" w:line="300"/>
        <w:jc w:val="both"/>
      </w:pPr>
      <w:r>
        <w:rPr>
          <w:rFonts w:ascii="Times New Roman" w:cs="Times New Roman" w:eastAsia="Times New Roman" w:hAnsi="Times New Roman"/>
          <w:color w:val="2E2E2E"/>
          <w:sz w:val="22"/>
          <w:szCs w:val="22"/>
        </w:rPr>
        <w:t xml:space="preserve">Doshisha International High School has not issued detailed public comment, consistent with the practice of schools managing the aftermath of a student death while supporting the families and pupils most directly affected.</w:t>
      </w:r>
    </w:p>
    <w:p>
      <w:pPr>
        <w:spacing w:after="120" w:before="0" w:line="300"/>
        <w:jc w:val="both"/>
      </w:pPr>
      <w:r>
        <w:rPr>
          <w:rFonts w:ascii="Times New Roman" w:cs="Times New Roman" w:eastAsia="Times New Roman" w:hAnsi="Times New Roman"/>
          <w:color w:val="2E2E2E"/>
          <w:sz w:val="22"/>
          <w:szCs w:val="22"/>
        </w:rPr>
        <w:t xml:space="preserve">School-organised marine activities in Japan operate under guidelines covering supervision ratios, equipment and weather criteria, developed and revised by education authorities following successive incidents.</w:t>
      </w:r>
    </w:p>
    <w:p>
      <w:pPr>
        <w:spacing w:after="120" w:before="0" w:line="300"/>
        <w:jc w:val="both"/>
      </w:pPr>
      <w:r>
        <w:rPr>
          <w:rFonts w:ascii="Times New Roman" w:cs="Times New Roman" w:eastAsia="Times New Roman" w:hAnsi="Times New Roman"/>
          <w:color w:val="2E2E2E"/>
          <w:sz w:val="22"/>
          <w:szCs w:val="22"/>
        </w:rPr>
        <w:t xml:space="preserve">The difficulty such guidelines face is that conditions at sea change faster than the assessments made before departure, placing considerable weight on judgments made by supervisors in the moment.</w:t>
      </w:r>
    </w:p>
    <w:p>
      <w:pPr>
        <w:spacing w:after="120" w:before="0" w:line="300"/>
        <w:jc w:val="both"/>
      </w:pPr>
      <w:r>
        <w:rPr>
          <w:rFonts w:ascii="Times New Roman" w:cs="Times New Roman" w:eastAsia="Times New Roman" w:hAnsi="Times New Roman"/>
          <w:color w:val="2E2E2E"/>
          <w:sz w:val="22"/>
          <w:szCs w:val="22"/>
        </w:rPr>
        <w:t xml:space="preserve">Japanese schools carry a broad duty of care extending well beyond the classroom, encompassing club activities, excursions and events that occupy a substantial share of the school year.</w:t>
      </w:r>
    </w:p>
    <w:p>
      <w:pPr>
        <w:spacing w:after="120" w:before="0" w:line="300"/>
        <w:jc w:val="both"/>
      </w:pPr>
      <w:r>
        <w:rPr>
          <w:rFonts w:ascii="Times New Roman" w:cs="Times New Roman" w:eastAsia="Times New Roman" w:hAnsi="Times New Roman"/>
          <w:color w:val="2E2E2E"/>
          <w:sz w:val="22"/>
          <w:szCs w:val="22"/>
        </w:rPr>
        <w:t xml:space="preserve">Families bereaved in school-related incidents have frequently pressed for institutional accounts rather than individual blame, a pattern this family's phrasing continues.</w:t>
      </w:r>
    </w:p>
    <w:p>
      <w:pPr>
        <w:spacing w:after="120" w:before="0" w:line="300"/>
        <w:jc w:val="both"/>
      </w:pPr>
      <w:r>
        <w:rPr>
          <w:rFonts w:ascii="Times New Roman" w:cs="Times New Roman" w:eastAsia="Times New Roman" w:hAnsi="Times New Roman"/>
          <w:color w:val="2E2E2E"/>
          <w:sz w:val="22"/>
          <w:szCs w:val="22"/>
        </w:rPr>
        <w:t xml:space="preserve">Prefectural education boards typically conduct reviews following incidents of this kind, with findings feeding into revised guidance that applies across schools under their jurisdiction.</w:t>
      </w:r>
    </w:p>
    <w:p>
      <w:pPr>
        <w:spacing w:after="120" w:before="0" w:line="300"/>
        <w:jc w:val="both"/>
      </w:pPr>
      <w:r>
        <w:rPr>
          <w:rFonts w:ascii="Times New Roman" w:cs="Times New Roman" w:eastAsia="Times New Roman" w:hAnsi="Times New Roman"/>
          <w:color w:val="2E2E2E"/>
          <w:sz w:val="22"/>
          <w:szCs w:val="22"/>
        </w:rPr>
        <w:t xml:space="preserve">The waters off the Henoko coast carry their own associations given the relocation dispute, though the reporting connects the capsizing to that context only by geography.</w:t>
      </w:r>
    </w:p>
    <w:p>
      <w:pPr>
        <w:spacing w:after="200" w:before="40"/>
        <w:jc w:val="right"/>
      </w:pPr>
      <w:r>
        <w:rPr>
          <w:rFonts w:ascii="Helvetica" w:cs="Helvetica" w:eastAsia="Helvetica" w:hAnsi="Helvetica"/>
          <w:i/>
          <w:iCs/>
          <w:color w:val="888888"/>
          <w:sz w:val="16"/>
          <w:szCs w:val="16"/>
        </w:rPr>
        <w:t xml:space="preserve">[363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Rain Spreads From Western Japan to Tohoku as Kanto Temperatures Fall</w:t>
      </w:r>
    </w:p>
    <w:p>
      <w:pPr>
        <w:spacing w:after="40" w:before="40"/>
      </w:pPr>
      <w:r>
        <w:rPr>
          <w:rFonts w:ascii="Times New Roman" w:cs="Times New Roman" w:eastAsia="Times New Roman" w:hAnsi="Times New Roman"/>
          <w:i/>
          <w:iCs/>
          <w:color w:val="9B1B2A"/>
          <w:sz w:val="22"/>
          <w:szCs w:val="22"/>
        </w:rPr>
        <w:t xml:space="preserve">The stalled autumn front brings a sharp change to the capital, with Tokyo's high dropping from around 32°C Monday to the high 20s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autumn rain front remains stalled near Honshu, bringing rain across a wide area from western Japan to Tohoku, with locally heavy rain accompanied by thunderstorms, according to Weathernews.</w:t>
      </w:r>
    </w:p>
    <w:p>
      <w:pPr>
        <w:spacing w:after="120" w:before="0" w:line="300"/>
        <w:jc w:val="both"/>
      </w:pPr>
      <w:r>
        <w:rPr>
          <w:rFonts w:ascii="Times New Roman" w:cs="Times New Roman" w:eastAsia="Times New Roman" w:hAnsi="Times New Roman"/>
          <w:color w:val="2E2E2E"/>
          <w:sz w:val="22"/>
          <w:szCs w:val="22"/>
        </w:rPr>
        <w:t xml:space="preserve">The Kanto region faces the sharpest change. Monday's clear skies give way to rain and intermittent cloud with thunderstorms in places, and the maximum temperature in central Tokyo falls to around 27 to 28 degrees from roughly 32 the previous day, according to tenki.jp and Japan Meteorological Agency material carried by FNN.</w:t>
      </w:r>
    </w:p>
    <w:p>
      <w:pPr>
        <w:spacing w:after="120" w:before="0" w:line="300"/>
        <w:jc w:val="both"/>
      </w:pPr>
      <w:r>
        <w:rPr>
          <w:rFonts w:ascii="Times New Roman" w:cs="Times New Roman" w:eastAsia="Times New Roman" w:hAnsi="Times New Roman"/>
          <w:color w:val="2E2E2E"/>
          <w:sz w:val="22"/>
          <w:szCs w:val="22"/>
        </w:rPr>
        <w:t xml:space="preserve">Rain is expected to intensify in some areas during the morning commute, the timing that turns a weather forecast into a practical problem for several million people at once.</w:t>
      </w:r>
    </w:p>
    <w:p>
      <w:pPr>
        <w:spacing w:after="120" w:before="0" w:line="300"/>
        <w:jc w:val="both"/>
      </w:pPr>
      <w:r>
        <w:rPr>
          <w:rFonts w:ascii="Times New Roman" w:cs="Times New Roman" w:eastAsia="Times New Roman" w:hAnsi="Times New Roman"/>
          <w:color w:val="2E2E2E"/>
          <w:sz w:val="22"/>
          <w:szCs w:val="22"/>
        </w:rPr>
        <w:t xml:space="preserve">Western Japan faces an unstable atmosphere with rain across a wide area, mainly in the morning, though some areas on the Sea of Japan side should see the rain stop during the afternoon. Forecasters are warning about heavy rain and thunderstorms.</w:t>
      </w:r>
    </w:p>
    <w:p>
      <w:pPr>
        <w:spacing w:after="120" w:before="0" w:line="300"/>
        <w:jc w:val="both"/>
      </w:pPr>
      <w:r>
        <w:rPr>
          <w:rFonts w:ascii="Times New Roman" w:cs="Times New Roman" w:eastAsia="Times New Roman" w:hAnsi="Times New Roman"/>
          <w:color w:val="2E2E2E"/>
          <w:sz w:val="22"/>
          <w:szCs w:val="22"/>
        </w:rPr>
        <w:t xml:space="preserve">Tohoku faces intermittent rain, with maximum temperatures around 21 degrees in Iwate and comparable areas, and vigilance is warranted against landslides and flooding given accumulated ground saturation.</w:t>
      </w:r>
    </w:p>
    <w:p>
      <w:pPr>
        <w:spacing w:after="120" w:before="0" w:line="300"/>
        <w:jc w:val="both"/>
      </w:pPr>
      <w:r>
        <w:rPr>
          <w:rFonts w:ascii="Times New Roman" w:cs="Times New Roman" w:eastAsia="Times New Roman" w:hAnsi="Times New Roman"/>
          <w:color w:val="2E2E2E"/>
          <w:sz w:val="22"/>
          <w:szCs w:val="22"/>
        </w:rPr>
        <w:t xml:space="preserve">Hokkaido is the exception, with conditions expected to improve and more sunny intervals, according to Weathernews.</w:t>
      </w:r>
    </w:p>
    <w:p>
      <w:pPr>
        <w:spacing w:after="120" w:before="0" w:line="300"/>
        <w:jc w:val="both"/>
      </w:pPr>
      <w:r>
        <w:rPr>
          <w:rFonts w:ascii="Times New Roman" w:cs="Times New Roman" w:eastAsia="Times New Roman" w:hAnsi="Times New Roman"/>
          <w:color w:val="2E2E2E"/>
          <w:sz w:val="22"/>
          <w:szCs w:val="22"/>
        </w:rPr>
        <w:t xml:space="preserve">Temperatures are expected to drop further on the 16th, and cloudy, rainy weather is likely to persist through Silver Week, a discouraging outlook for a holiday period many households build travel plans around.</w:t>
      </w:r>
    </w:p>
    <w:p>
      <w:pPr>
        <w:spacing w:after="120" w:before="0" w:line="300"/>
        <w:jc w:val="both"/>
      </w:pPr>
      <w:r>
        <w:rPr>
          <w:rFonts w:ascii="Times New Roman" w:cs="Times New Roman" w:eastAsia="Times New Roman" w:hAnsi="Times New Roman"/>
          <w:color w:val="2E2E2E"/>
          <w:sz w:val="22"/>
          <w:szCs w:val="22"/>
        </w:rPr>
        <w:t xml:space="preserve">A stalled front produces more cumulative rainfall over a given area than one moving through at normal pace, since the same locations sit under rain-producing conditions repeatedly rather than once.</w:t>
      </w:r>
    </w:p>
    <w:p>
      <w:pPr>
        <w:spacing w:after="120" w:before="0" w:line="300"/>
        <w:jc w:val="both"/>
      </w:pPr>
      <w:r>
        <w:rPr>
          <w:rFonts w:ascii="Times New Roman" w:cs="Times New Roman" w:eastAsia="Times New Roman" w:hAnsi="Times New Roman"/>
          <w:color w:val="2E2E2E"/>
          <w:sz w:val="22"/>
          <w:szCs w:val="22"/>
        </w:rPr>
        <w:t xml:space="preserve">Japan's autumn rain season, distinct from the early-summer plum rain period, arrives as the Pacific high retreats southward and cooler continental air advances, with the boundary between them forming the front now stalled over Honshu.</w:t>
      </w:r>
    </w:p>
    <w:p>
      <w:pPr>
        <w:spacing w:after="120" w:before="0" w:line="300"/>
        <w:jc w:val="both"/>
      </w:pPr>
      <w:r>
        <w:rPr>
          <w:rFonts w:ascii="Times New Roman" w:cs="Times New Roman" w:eastAsia="Times New Roman" w:hAnsi="Times New Roman"/>
          <w:color w:val="2E2E2E"/>
          <w:sz w:val="22"/>
          <w:szCs w:val="22"/>
        </w:rPr>
        <w:t xml:space="preserve">Fronts of this kind become stationary when the air masses on either side are in rough balance, leaving no steering flow to push the boundary through and holding the same areas under rain-producing conditions for days.</w:t>
      </w:r>
    </w:p>
    <w:p>
      <w:pPr>
        <w:spacing w:after="120" w:before="0" w:line="300"/>
        <w:jc w:val="both"/>
      </w:pPr>
      <w:r>
        <w:rPr>
          <w:rFonts w:ascii="Times New Roman" w:cs="Times New Roman" w:eastAsia="Times New Roman" w:hAnsi="Times New Roman"/>
          <w:color w:val="2E2E2E"/>
          <w:sz w:val="22"/>
          <w:szCs w:val="22"/>
        </w:rPr>
        <w:t xml:space="preserve">The rainfall such a pattern delivers is frequently more consequential than a typhoon's, since a fast-moving storm passes in hours while a stalled front can deliver comparable totals over a week.</w:t>
      </w:r>
    </w:p>
    <w:p>
      <w:pPr>
        <w:spacing w:after="120" w:before="0" w:line="300"/>
        <w:jc w:val="both"/>
      </w:pPr>
      <w:r>
        <w:rPr>
          <w:rFonts w:ascii="Times New Roman" w:cs="Times New Roman" w:eastAsia="Times New Roman" w:hAnsi="Times New Roman"/>
          <w:color w:val="2E2E2E"/>
          <w:sz w:val="22"/>
          <w:szCs w:val="22"/>
        </w:rPr>
        <w:t xml:space="preserve">Ground saturation is the mechanism that converts persistent rain into landslide risk, as soil that can no longer absorb water loses the cohesion holding slopes in place.</w:t>
      </w:r>
    </w:p>
    <w:p>
      <w:pPr>
        <w:spacing w:after="120" w:before="0" w:line="300"/>
        <w:jc w:val="both"/>
      </w:pPr>
      <w:r>
        <w:rPr>
          <w:rFonts w:ascii="Times New Roman" w:cs="Times New Roman" w:eastAsia="Times New Roman" w:hAnsi="Times New Roman"/>
          <w:color w:val="2E2E2E"/>
          <w:sz w:val="22"/>
          <w:szCs w:val="22"/>
        </w:rPr>
        <w:t xml:space="preserve">Japan's terrain places a substantial share of settlement on or below steep slopes, which is why local advisories emphasise evacuation timing rather than rainfall totals alone.</w:t>
      </w:r>
    </w:p>
    <w:p>
      <w:pPr>
        <w:spacing w:after="120" w:before="0" w:line="300"/>
        <w:jc w:val="both"/>
      </w:pPr>
      <w:r>
        <w:rPr>
          <w:rFonts w:ascii="Times New Roman" w:cs="Times New Roman" w:eastAsia="Times New Roman" w:hAnsi="Times New Roman"/>
          <w:color w:val="2E2E2E"/>
          <w:sz w:val="22"/>
          <w:szCs w:val="22"/>
        </w:rPr>
        <w:t xml:space="preserve">Municipal alert levels run on a tiered scale, and disaster management officials consistently advise acting on the earlier tiers, since the later ones frequently arrive when movement has already become hazardous.</w:t>
      </w:r>
    </w:p>
    <w:p>
      <w:pPr>
        <w:spacing w:after="200" w:before="40"/>
        <w:jc w:val="right"/>
      </w:pPr>
      <w:r>
        <w:rPr>
          <w:rFonts w:ascii="Helvetica" w:cs="Helvetica" w:eastAsia="Helvetica" w:hAnsi="Helvetica"/>
          <w:i/>
          <w:iCs/>
          <w:color w:val="888888"/>
          <w:sz w:val="16"/>
          <w:szCs w:val="16"/>
        </w:rPr>
        <w:t xml:space="preserve">[443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Cloud and Rain Expected to Persist Through Silver Week</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Cloudy and rainy weather is likely to continue throughout Silver Week, according to tenki.jp and Japan Meteorological Agency material, a discouraging outlook for the September holiday period around which a substantial amount of domestic travel is planned.</w:t>
      </w:r>
    </w:p>
    <w:p>
      <w:pPr>
        <w:spacing w:after="120" w:before="0" w:line="300"/>
        <w:jc w:val="both"/>
      </w:pPr>
      <w:r>
        <w:rPr>
          <w:rFonts w:ascii="Times New Roman" w:cs="Times New Roman" w:eastAsia="Times New Roman" w:hAnsi="Times New Roman"/>
          <w:color w:val="2E2E2E"/>
          <w:sz w:val="22"/>
          <w:szCs w:val="22"/>
        </w:rPr>
        <w:t xml:space="preserve">Silver Week is the autumn counterpart to the spring Golden Week, formed when the Respect for the Aged Day and Autumn Equinox holidays fall close enough to produce an extended break, and its length varies year to year with the calendar.</w:t>
      </w:r>
    </w:p>
    <w:p>
      <w:pPr>
        <w:spacing w:after="120" w:before="0" w:line="300"/>
        <w:jc w:val="both"/>
      </w:pPr>
      <w:r>
        <w:rPr>
          <w:rFonts w:ascii="Times New Roman" w:cs="Times New Roman" w:eastAsia="Times New Roman" w:hAnsi="Times New Roman"/>
          <w:color w:val="2E2E2E"/>
          <w:sz w:val="22"/>
          <w:szCs w:val="22"/>
        </w:rPr>
        <w:t xml:space="preserve">Domestic tourism operators build capacity planning around the period, and a sustained wet forecast tends to shift bookings from outdoor destinations toward urban and indoor alternatives rather than eliminating travel altogether.</w:t>
      </w:r>
    </w:p>
    <w:p>
      <w:pPr>
        <w:spacing w:after="120" w:before="0" w:line="300"/>
        <w:jc w:val="both"/>
      </w:pPr>
      <w:r>
        <w:rPr>
          <w:rFonts w:ascii="Times New Roman" w:cs="Times New Roman" w:eastAsia="Times New Roman" w:hAnsi="Times New Roman"/>
          <w:color w:val="2E2E2E"/>
          <w:sz w:val="22"/>
          <w:szCs w:val="22"/>
        </w:rPr>
        <w:t xml:space="preserve">Temperatures are expected to drop further on the 16th, adding a cooler dimension to the wet one and marking a clearer transition out of the late-summer heat that persisted through the first half of September.</w:t>
      </w:r>
    </w:p>
    <w:p>
      <w:pPr>
        <w:spacing w:after="120" w:before="0" w:line="300"/>
        <w:jc w:val="both"/>
      </w:pPr>
      <w:r>
        <w:rPr>
          <w:rFonts w:ascii="Times New Roman" w:cs="Times New Roman" w:eastAsia="Times New Roman" w:hAnsi="Times New Roman"/>
          <w:color w:val="2E2E2E"/>
          <w:sz w:val="22"/>
          <w:szCs w:val="22"/>
        </w:rPr>
        <w:t xml:space="preserve">The autumn rain front responsible is stalled near Honshu, and a stationary front delivers more cumulative rainfall to the same areas than one progressing at a normal pace.</w:t>
      </w:r>
    </w:p>
    <w:p>
      <w:pPr>
        <w:spacing w:after="120" w:before="0" w:line="300"/>
        <w:jc w:val="both"/>
      </w:pPr>
      <w:r>
        <w:rPr>
          <w:rFonts w:ascii="Times New Roman" w:cs="Times New Roman" w:eastAsia="Times New Roman" w:hAnsi="Times New Roman"/>
          <w:color w:val="2E2E2E"/>
          <w:sz w:val="22"/>
          <w:szCs w:val="22"/>
        </w:rPr>
        <w:t xml:space="preserve">Forecasters have not indicated when the front will begin moving through, which leaves the holiday outlook subject to revision as the pattern evolves.</w:t>
      </w:r>
    </w:p>
    <w:p>
      <w:pPr>
        <w:spacing w:after="120" w:before="0" w:line="300"/>
        <w:jc w:val="both"/>
      </w:pPr>
      <w:r>
        <w:rPr>
          <w:rFonts w:ascii="Times New Roman" w:cs="Times New Roman" w:eastAsia="Times New Roman" w:hAnsi="Times New Roman"/>
          <w:color w:val="2E2E2E"/>
          <w:sz w:val="22"/>
          <w:szCs w:val="22"/>
        </w:rPr>
        <w:t xml:space="preserve">Silver Week's length varies considerably year to year, since it depends on whether Respect for the Aged Day and the Autumn Equinox fall close enough to produce a bridging weekday.</w:t>
      </w:r>
    </w:p>
    <w:p>
      <w:pPr>
        <w:spacing w:after="120" w:before="0" w:line="300"/>
        <w:jc w:val="both"/>
      </w:pPr>
      <w:r>
        <w:rPr>
          <w:rFonts w:ascii="Times New Roman" w:cs="Times New Roman" w:eastAsia="Times New Roman" w:hAnsi="Times New Roman"/>
          <w:color w:val="2E2E2E"/>
          <w:sz w:val="22"/>
          <w:szCs w:val="22"/>
        </w:rPr>
        <w:t xml:space="preserve">Domestic travel dominates the period, with the transport network operating at elevated capacity and accommodation in popular destinations booked well in advance.</w:t>
      </w:r>
    </w:p>
    <w:p>
      <w:pPr>
        <w:spacing w:after="120" w:before="0" w:line="300"/>
        <w:jc w:val="both"/>
      </w:pPr>
      <w:r>
        <w:rPr>
          <w:rFonts w:ascii="Times New Roman" w:cs="Times New Roman" w:eastAsia="Times New Roman" w:hAnsi="Times New Roman"/>
          <w:color w:val="2E2E2E"/>
          <w:sz w:val="22"/>
          <w:szCs w:val="22"/>
        </w:rPr>
        <w:t xml:space="preserve">Weather has an asymmetric effect on holiday travel. Persistent rain tends to redirect trips toward urban and indoor destinations rather than cancelling them, which shifts rather than reduces the economic activity.</w:t>
      </w:r>
    </w:p>
    <w:p>
      <w:pPr>
        <w:spacing w:after="120" w:before="0" w:line="300"/>
        <w:jc w:val="both"/>
      </w:pPr>
      <w:r>
        <w:rPr>
          <w:rFonts w:ascii="Times New Roman" w:cs="Times New Roman" w:eastAsia="Times New Roman" w:hAnsi="Times New Roman"/>
          <w:color w:val="2E2E2E"/>
          <w:sz w:val="22"/>
          <w:szCs w:val="22"/>
        </w:rPr>
        <w:t xml:space="preserve">Outdoor destinations including hot spring regions and mountain areas are the most exposed, though hot springs retain appeal in poor weather in a way that hiking does not.</w:t>
      </w:r>
    </w:p>
    <w:p>
      <w:pPr>
        <w:spacing w:after="120" w:before="0" w:line="300"/>
        <w:jc w:val="both"/>
      </w:pPr>
      <w:r>
        <w:rPr>
          <w:rFonts w:ascii="Times New Roman" w:cs="Times New Roman" w:eastAsia="Times New Roman" w:hAnsi="Times New Roman"/>
          <w:color w:val="2E2E2E"/>
          <w:sz w:val="22"/>
          <w:szCs w:val="22"/>
        </w:rPr>
        <w:t xml:space="preserve">The autumn equinox itself carries observance beyond the holiday, with many households visiting family graves during the period, a custom that proceeds regardless of conditions.</w:t>
      </w:r>
    </w:p>
    <w:p>
      <w:pPr>
        <w:spacing w:after="120" w:before="0" w:line="300"/>
        <w:jc w:val="both"/>
      </w:pPr>
      <w:r>
        <w:rPr>
          <w:rFonts w:ascii="Times New Roman" w:cs="Times New Roman" w:eastAsia="Times New Roman" w:hAnsi="Times New Roman"/>
          <w:color w:val="2E2E2E"/>
          <w:sz w:val="22"/>
          <w:szCs w:val="22"/>
        </w:rPr>
        <w:t xml:space="preserve">Forecast confidence at a week's range is limited, and the outlook remains subject to revision as the front's behaviour becomes clearer.</w:t>
      </w:r>
    </w:p>
    <w:p>
      <w:pPr>
        <w:spacing w:after="200" w:before="40"/>
        <w:jc w:val="right"/>
      </w:pPr>
      <w:r>
        <w:rPr>
          <w:rFonts w:ascii="Helvetica" w:cs="Helvetica" w:eastAsia="Helvetica" w:hAnsi="Helvetica"/>
          <w:i/>
          <w:iCs/>
          <w:color w:val="888888"/>
          <w:sz w:val="16"/>
          <w:szCs w:val="16"/>
        </w:rPr>
        <w:t xml:space="preserve">[352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Dual Insurance Structure Under Strain From Both Ends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health insurance evasion scheme uncovered by the Ministry of Health, Labour and Welfare, which drew 38 companies and 11,610 participants, points to a structural pressure on Japan's dual insurance system that predates the scheme itself.</w:t>
      </w:r>
    </w:p>
    <w:p>
      <w:pPr>
        <w:spacing w:after="120" w:before="0" w:line="300"/>
        <w:jc w:val="both"/>
      </w:pPr>
      <w:r>
        <w:rPr>
          <w:rFonts w:ascii="Times New Roman" w:cs="Times New Roman" w:eastAsia="Times New Roman" w:hAnsi="Times New Roman"/>
          <w:color w:val="2E2E2E"/>
          <w:sz w:val="22"/>
          <w:szCs w:val="22"/>
        </w:rPr>
        <w:t xml:space="preserve">Japan operates parallel systems: employees' health insurance for company workers, and national health insurance for the self-employed, the unemployed and others outside corporate employment. Premium structures differ between them, which creates the incentive the scheme exploited.</w:t>
      </w:r>
    </w:p>
    <w:p>
      <w:pPr>
        <w:spacing w:after="120" w:before="0" w:line="300"/>
        <w:jc w:val="both"/>
      </w:pPr>
      <w:r>
        <w:rPr>
          <w:rFonts w:ascii="Times New Roman" w:cs="Times New Roman" w:eastAsia="Times New Roman" w:hAnsi="Times New Roman"/>
          <w:color w:val="2E2E2E"/>
          <w:sz w:val="22"/>
          <w:szCs w:val="22"/>
        </w:rPr>
        <w:t xml:space="preserve">National health insurance faces the more difficult demographics of the two. Its enrolee population skews older and includes a higher share of people with lower and less predictable incomes, while its contribution base is correspondingly narrower.</w:t>
      </w:r>
    </w:p>
    <w:p>
      <w:pPr>
        <w:spacing w:after="120" w:before="0" w:line="300"/>
        <w:jc w:val="both"/>
      </w:pPr>
      <w:r>
        <w:rPr>
          <w:rFonts w:ascii="Times New Roman" w:cs="Times New Roman" w:eastAsia="Times New Roman" w:hAnsi="Times New Roman"/>
          <w:color w:val="2E2E2E"/>
          <w:sz w:val="22"/>
          <w:szCs w:val="22"/>
        </w:rPr>
        <w:t xml:space="preserve">Municipalities administer national health insurance and have faced sustained fiscal pressure as a result, with premium increases and general-revenue transfers both used to close recurring gaps.</w:t>
      </w:r>
    </w:p>
    <w:p>
      <w:pPr>
        <w:spacing w:after="120" w:before="0" w:line="300"/>
        <w:jc w:val="both"/>
      </w:pPr>
      <w:r>
        <w:rPr>
          <w:rFonts w:ascii="Times New Roman" w:cs="Times New Roman" w:eastAsia="Times New Roman" w:hAnsi="Times New Roman"/>
          <w:color w:val="2E2E2E"/>
          <w:sz w:val="22"/>
          <w:szCs w:val="22"/>
        </w:rPr>
        <w:t xml:space="preserve">Arrangements that move contributors out of the national pool therefore do more damage than the individual premium amounts suggest, since they remove exactly the working-age participants whose contributions offset the costs of older enrolees.</w:t>
      </w:r>
    </w:p>
    <w:p>
      <w:pPr>
        <w:spacing w:after="120" w:before="0" w:line="300"/>
        <w:jc w:val="both"/>
      </w:pPr>
      <w:r>
        <w:rPr>
          <w:rFonts w:ascii="Times New Roman" w:cs="Times New Roman" w:eastAsia="Times New Roman" w:hAnsi="Times New Roman"/>
          <w:color w:val="2E2E2E"/>
          <w:sz w:val="22"/>
          <w:szCs w:val="22"/>
        </w:rPr>
        <w:t xml:space="preserve">Whether the ministry pursues retroactive liability against participants, the companies marketing the arrangement, or both, will determine how much deterrent effect the survey's publication ultimately carries.</w:t>
      </w:r>
    </w:p>
    <w:p>
      <w:pPr>
        <w:spacing w:after="120" w:before="0" w:line="300"/>
        <w:jc w:val="both"/>
      </w:pPr>
      <w:r>
        <w:rPr>
          <w:rFonts w:ascii="Times New Roman" w:cs="Times New Roman" w:eastAsia="Times New Roman" w:hAnsi="Times New Roman"/>
          <w:color w:val="2E2E2E"/>
          <w:sz w:val="22"/>
          <w:szCs w:val="22"/>
        </w:rPr>
        <w:t xml:space="preserve">Universal coverage was achieved in Japan in 1961 and has been maintained since through a patchwork of schemes rather than a single national system, an arrangement that distributes risk unevenly between them.</w:t>
      </w:r>
    </w:p>
    <w:p>
      <w:pPr>
        <w:spacing w:after="120" w:before="0" w:line="300"/>
        <w:jc w:val="both"/>
      </w:pPr>
      <w:r>
        <w:rPr>
          <w:rFonts w:ascii="Times New Roman" w:cs="Times New Roman" w:eastAsia="Times New Roman" w:hAnsi="Times New Roman"/>
          <w:color w:val="2E2E2E"/>
          <w:sz w:val="22"/>
          <w:szCs w:val="22"/>
        </w:rPr>
        <w:t xml:space="preserve">Employees' health insurance divides further between society-managed schemes operated by large employers and the association-managed scheme covering smaller firms, each with different premium levels and financial positions.</w:t>
      </w:r>
    </w:p>
    <w:p>
      <w:pPr>
        <w:spacing w:after="120" w:before="0" w:line="300"/>
        <w:jc w:val="both"/>
      </w:pPr>
      <w:r>
        <w:rPr>
          <w:rFonts w:ascii="Times New Roman" w:cs="Times New Roman" w:eastAsia="Times New Roman" w:hAnsi="Times New Roman"/>
          <w:color w:val="2E2E2E"/>
          <w:sz w:val="22"/>
          <w:szCs w:val="22"/>
        </w:rPr>
        <w:t xml:space="preserve">National health insurance sits at the end of that structure, enrolling those the employment-linked schemes do not reach, which concentrates in it exactly the demographic and income profile most costly to cover.</w:t>
      </w:r>
    </w:p>
    <w:p>
      <w:pPr>
        <w:spacing w:after="120" w:before="0" w:line="300"/>
        <w:jc w:val="both"/>
      </w:pPr>
      <w:r>
        <w:rPr>
          <w:rFonts w:ascii="Times New Roman" w:cs="Times New Roman" w:eastAsia="Times New Roman" w:hAnsi="Times New Roman"/>
          <w:color w:val="2E2E2E"/>
          <w:sz w:val="22"/>
          <w:szCs w:val="22"/>
        </w:rPr>
        <w:t xml:space="preserve">Reform proposals have circulated for years, generally involving greater risk pooling across schemes or consolidation of administration, and have foundered on the distributional conflicts any such change produces.</w:t>
      </w:r>
    </w:p>
    <w:p>
      <w:pPr>
        <w:spacing w:after="120" w:before="0" w:line="300"/>
        <w:jc w:val="both"/>
      </w:pPr>
      <w:r>
        <w:rPr>
          <w:rFonts w:ascii="Times New Roman" w:cs="Times New Roman" w:eastAsia="Times New Roman" w:hAnsi="Times New Roman"/>
          <w:color w:val="2E2E2E"/>
          <w:sz w:val="22"/>
          <w:szCs w:val="22"/>
        </w:rPr>
        <w:t xml:space="preserve">The ageing of the enrolled population compounds the arithmetic, since medical expenditure rises steeply with age while contribution capacity does not.</w:t>
      </w:r>
    </w:p>
    <w:p>
      <w:pPr>
        <w:spacing w:after="120" w:before="0" w:line="300"/>
        <w:jc w:val="both"/>
      </w:pPr>
      <w:r>
        <w:rPr>
          <w:rFonts w:ascii="Times New Roman" w:cs="Times New Roman" w:eastAsia="Times New Roman" w:hAnsi="Times New Roman"/>
          <w:color w:val="2E2E2E"/>
          <w:sz w:val="22"/>
          <w:szCs w:val="22"/>
        </w:rPr>
        <w:t xml:space="preserve">Evasion schemes of the kind the ministry survey identified accelerate that pressure by removing precisely the working-age contributors whose premiums offset older enrolees' costs.</w:t>
      </w:r>
    </w:p>
    <w:p>
      <w:pPr>
        <w:spacing w:after="200" w:before="40"/>
        <w:jc w:val="right"/>
      </w:pPr>
      <w:r>
        <w:rPr>
          <w:rFonts w:ascii="Helvetica" w:cs="Helvetica" w:eastAsia="Helvetica" w:hAnsi="Helvetica"/>
          <w:i/>
          <w:iCs/>
          <w:color w:val="888888"/>
          <w:sz w:val="16"/>
          <w:szCs w:val="16"/>
        </w:rPr>
        <w:t xml:space="preserve">[358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Delivery Model Faces Scrutiny After Yokohama Contamination Figures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thirteenfold gap between foreign object contamination cases in Yokohama's junior high and elementary school lunches points attention toward the difference between how the two are produced rather than toward any individual incident.</w:t>
      </w:r>
    </w:p>
    <w:p>
      <w:pPr>
        <w:spacing w:after="120" w:before="0" w:line="300"/>
        <w:jc w:val="both"/>
      </w:pPr>
      <w:r>
        <w:rPr>
          <w:rFonts w:ascii="Times New Roman" w:cs="Times New Roman" w:eastAsia="Times New Roman" w:hAnsi="Times New Roman"/>
          <w:color w:val="2E2E2E"/>
          <w:sz w:val="22"/>
          <w:szCs w:val="22"/>
        </w:rPr>
        <w:t xml:space="preserve">Elementary schools in Japan have traditionally prepared lunches in school kitchens or in district facilities serving a small number of nearby schools, a model that keeps the distance between preparation and consumption short.</w:t>
      </w:r>
    </w:p>
    <w:p>
      <w:pPr>
        <w:spacing w:after="120" w:before="0" w:line="300"/>
        <w:jc w:val="both"/>
      </w:pPr>
      <w:r>
        <w:rPr>
          <w:rFonts w:ascii="Times New Roman" w:cs="Times New Roman" w:eastAsia="Times New Roman" w:hAnsi="Times New Roman"/>
          <w:color w:val="2E2E2E"/>
          <w:sz w:val="22"/>
          <w:szCs w:val="22"/>
        </w:rPr>
        <w:t xml:space="preserve">Junior high school lunch provision developed later and differently in many municipalities, with Yokohama among the cities that adopted a centralised delivery model rather than building kitchen capacity at every school.</w:t>
      </w:r>
    </w:p>
    <w:p>
      <w:pPr>
        <w:spacing w:after="120" w:before="0" w:line="300"/>
        <w:jc w:val="both"/>
      </w:pPr>
      <w:r>
        <w:rPr>
          <w:rFonts w:ascii="Times New Roman" w:cs="Times New Roman" w:eastAsia="Times New Roman" w:hAnsi="Times New Roman"/>
          <w:color w:val="2E2E2E"/>
          <w:sz w:val="22"/>
          <w:szCs w:val="22"/>
        </w:rPr>
        <w:t xml:space="preserve">Each additional handling, packaging and transport stage in a centralised model is an additional opportunity for foreign material to enter, which is the most straightforward explanation for a gap of the size reported.</w:t>
      </w:r>
    </w:p>
    <w:p>
      <w:pPr>
        <w:spacing w:after="120" w:before="0" w:line="300"/>
        <w:jc w:val="both"/>
      </w:pPr>
      <w:r>
        <w:rPr>
          <w:rFonts w:ascii="Times New Roman" w:cs="Times New Roman" w:eastAsia="Times New Roman" w:hAnsi="Times New Roman"/>
          <w:color w:val="2E2E2E"/>
          <w:sz w:val="22"/>
          <w:szCs w:val="22"/>
        </w:rPr>
        <w:t xml:space="preserve">Municipal responses to contamination figures typically begin with supplier audits and revised inspection protocols, measures that address execution within the existing model rather than the model itself.</w:t>
      </w:r>
    </w:p>
    <w:p>
      <w:pPr>
        <w:spacing w:after="120" w:before="0" w:line="300"/>
        <w:jc w:val="both"/>
      </w:pPr>
      <w:r>
        <w:rPr>
          <w:rFonts w:ascii="Times New Roman" w:cs="Times New Roman" w:eastAsia="Times New Roman" w:hAnsi="Times New Roman"/>
          <w:color w:val="2E2E2E"/>
          <w:sz w:val="22"/>
          <w:szCs w:val="22"/>
        </w:rPr>
        <w:t xml:space="preserve">Parent groups and school councils are likely to press for a breakdown of what the 198 cases actually involved, since the appropriate response differs considerably depending on the answer.</w:t>
      </w:r>
    </w:p>
    <w:p>
      <w:pPr>
        <w:spacing w:after="120" w:before="0" w:line="300"/>
        <w:jc w:val="both"/>
      </w:pPr>
      <w:r>
        <w:rPr>
          <w:rFonts w:ascii="Times New Roman" w:cs="Times New Roman" w:eastAsia="Times New Roman" w:hAnsi="Times New Roman"/>
          <w:color w:val="2E2E2E"/>
          <w:sz w:val="22"/>
          <w:szCs w:val="22"/>
        </w:rPr>
        <w:t xml:space="preserve">Delivered school lunch systems require food to be prepared centrally, portioned, transported and held at temperature until service, a chain with more handling stages than on-site preparation involves.</w:t>
      </w:r>
    </w:p>
    <w:p>
      <w:pPr>
        <w:spacing w:after="120" w:before="0" w:line="300"/>
        <w:jc w:val="both"/>
      </w:pPr>
      <w:r>
        <w:rPr>
          <w:rFonts w:ascii="Times New Roman" w:cs="Times New Roman" w:eastAsia="Times New Roman" w:hAnsi="Times New Roman"/>
          <w:color w:val="2E2E2E"/>
          <w:sz w:val="22"/>
          <w:szCs w:val="22"/>
        </w:rPr>
        <w:t xml:space="preserve">Each stage introduces its own contamination pathways, from packaging materials and transport containers to the equipment used in portioning at volumes that on-site kitchens do not attempt.</w:t>
      </w:r>
    </w:p>
    <w:p>
      <w:pPr>
        <w:spacing w:after="120" w:before="0" w:line="300"/>
        <w:jc w:val="both"/>
      </w:pPr>
      <w:r>
        <w:rPr>
          <w:rFonts w:ascii="Times New Roman" w:cs="Times New Roman" w:eastAsia="Times New Roman" w:hAnsi="Times New Roman"/>
          <w:color w:val="2E2E2E"/>
          <w:sz w:val="22"/>
          <w:szCs w:val="22"/>
        </w:rPr>
        <w:t xml:space="preserve">Temperature management through that chain is the more commonly discussed risk, since it governs bacterial growth, while foreign object contamination is a separate failure mode requiring different controls.</w:t>
      </w:r>
    </w:p>
    <w:p>
      <w:pPr>
        <w:spacing w:after="120" w:before="0" w:line="300"/>
        <w:jc w:val="both"/>
      </w:pPr>
      <w:r>
        <w:rPr>
          <w:rFonts w:ascii="Times New Roman" w:cs="Times New Roman" w:eastAsia="Times New Roman" w:hAnsi="Times New Roman"/>
          <w:color w:val="2E2E2E"/>
          <w:sz w:val="22"/>
          <w:szCs w:val="22"/>
        </w:rPr>
        <w:t xml:space="preserve">Municipalities adopting delivery models generally cited capital cost, since building and staffing kitchens at every junior high school represents a substantial and recurring commitment.</w:t>
      </w:r>
    </w:p>
    <w:p>
      <w:pPr>
        <w:spacing w:after="120" w:before="0" w:line="300"/>
        <w:jc w:val="both"/>
      </w:pPr>
      <w:r>
        <w:rPr>
          <w:rFonts w:ascii="Times New Roman" w:cs="Times New Roman" w:eastAsia="Times New Roman" w:hAnsi="Times New Roman"/>
          <w:color w:val="2E2E2E"/>
          <w:sz w:val="22"/>
          <w:szCs w:val="22"/>
        </w:rPr>
        <w:t xml:space="preserve">Some cities have since reversed course and invested in school kitchens, concluding that quality and reliability justified the expense, a debate Yokohama's figures will feed into.</w:t>
      </w:r>
    </w:p>
    <w:p>
      <w:pPr>
        <w:spacing w:after="120" w:before="0" w:line="300"/>
        <w:jc w:val="both"/>
      </w:pPr>
      <w:r>
        <w:rPr>
          <w:rFonts w:ascii="Times New Roman" w:cs="Times New Roman" w:eastAsia="Times New Roman" w:hAnsi="Times New Roman"/>
          <w:color w:val="2E2E2E"/>
          <w:sz w:val="22"/>
          <w:szCs w:val="22"/>
        </w:rPr>
        <w:t xml:space="preserve">Detection itself is a variable in these statistics, since a system that reports diligently will record more cases than one that does not, which complicates comparison between municipalities.</w:t>
      </w:r>
    </w:p>
    <w:p>
      <w:pPr>
        <w:spacing w:after="200" w:before="40"/>
        <w:jc w:val="right"/>
      </w:pPr>
      <w:r>
        <w:rPr>
          <w:rFonts w:ascii="Helvetica" w:cs="Helvetica" w:eastAsia="Helvetica" w:hAnsi="Helvetica"/>
          <w:i/>
          <w:iCs/>
          <w:color w:val="888888"/>
          <w:sz w:val="16"/>
          <w:szCs w:val="16"/>
        </w:rPr>
        <w:t xml:space="preserve">[347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Charging for Rescue Divides Mountain Safety Opinion</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Yamanashi Prefecture's decision to charge for off-season helicopter rescues on Mount Fuji revives a debate that mountain safety specialists have conducted for years without reaching consensus.</w:t>
      </w:r>
    </w:p>
    <w:p>
      <w:pPr>
        <w:spacing w:after="120" w:before="0" w:line="300"/>
        <w:jc w:val="both"/>
      </w:pPr>
      <w:r>
        <w:rPr>
          <w:rFonts w:ascii="Times New Roman" w:cs="Times New Roman" w:eastAsia="Times New Roman" w:hAnsi="Times New Roman"/>
          <w:color w:val="2E2E2E"/>
          <w:sz w:val="22"/>
          <w:szCs w:val="22"/>
        </w:rPr>
        <w:t xml:space="preserve">The case for charging rests on incentives. A climber who bears the cost of rescue has a reason to prepare adequately, turn back early and avoid the off-season conditions that generate the most callouts.</w:t>
      </w:r>
    </w:p>
    <w:p>
      <w:pPr>
        <w:spacing w:after="120" w:before="0" w:line="300"/>
        <w:jc w:val="both"/>
      </w:pPr>
      <w:r>
        <w:rPr>
          <w:rFonts w:ascii="Times New Roman" w:cs="Times New Roman" w:eastAsia="Times New Roman" w:hAnsi="Times New Roman"/>
          <w:color w:val="2E2E2E"/>
          <w:sz w:val="22"/>
          <w:szCs w:val="22"/>
        </w:rPr>
        <w:t xml:space="preserve">The case against rests on a different behavioural prediction. A climber facing a bill may delay calling for help, and in mountain emergencies delay converts recoverable situations into fatal ones with considerable reliability.</w:t>
      </w:r>
    </w:p>
    <w:p>
      <w:pPr>
        <w:spacing w:after="120" w:before="0" w:line="300"/>
        <w:jc w:val="both"/>
      </w:pPr>
      <w:r>
        <w:rPr>
          <w:rFonts w:ascii="Times New Roman" w:cs="Times New Roman" w:eastAsia="Times New Roman" w:hAnsi="Times New Roman"/>
          <w:color w:val="2E2E2E"/>
          <w:sz w:val="22"/>
          <w:szCs w:val="22"/>
        </w:rPr>
        <w:t xml:space="preserve">Practice varies internationally, with some jurisdictions billing for rescue, others funding it publicly, and others operating insurance-based systems that spread the cost across climbers generally rather than charging the individual rescued.</w:t>
      </w:r>
    </w:p>
    <w:p>
      <w:pPr>
        <w:spacing w:after="120" w:before="0" w:line="300"/>
        <w:jc w:val="both"/>
      </w:pPr>
      <w:r>
        <w:rPr>
          <w:rFonts w:ascii="Times New Roman" w:cs="Times New Roman" w:eastAsia="Times New Roman" w:hAnsi="Times New Roman"/>
          <w:color w:val="2E2E2E"/>
          <w:sz w:val="22"/>
          <w:szCs w:val="22"/>
        </w:rPr>
        <w:t xml:space="preserve">Yamanashi's package pairs charging with a climbing plan confirmation system, and the second element carries fewer objections, since knowing who is on the mountain and by which route is what makes a search efficient.</w:t>
      </w:r>
    </w:p>
    <w:p>
      <w:pPr>
        <w:spacing w:after="120" w:before="0" w:line="300"/>
        <w:jc w:val="both"/>
      </w:pPr>
      <w:r>
        <w:rPr>
          <w:rFonts w:ascii="Times New Roman" w:cs="Times New Roman" w:eastAsia="Times New Roman" w:hAnsi="Times New Roman"/>
          <w:color w:val="2E2E2E"/>
          <w:sz w:val="22"/>
          <w:szCs w:val="22"/>
        </w:rPr>
        <w:t xml:space="preserve">Shizuoka's decision to require notification without charging leaves the two prefectures running different regimes on a single mountain, an arrangement whose practicality the September 2027 start date leaves to be tested.</w:t>
      </w:r>
    </w:p>
    <w:p>
      <w:pPr>
        <w:spacing w:after="120" w:before="0" w:line="300"/>
        <w:jc w:val="both"/>
      </w:pPr>
      <w:r>
        <w:rPr>
          <w:rFonts w:ascii="Times New Roman" w:cs="Times New Roman" w:eastAsia="Times New Roman" w:hAnsi="Times New Roman"/>
          <w:color w:val="2E2E2E"/>
          <w:sz w:val="22"/>
          <w:szCs w:val="22"/>
        </w:rPr>
        <w:t xml:space="preserve">Mountain rescue in Japan is conducted by prefectural police and fire services, with helicopter operations run by units whose crews undertake the flights alongside their other duties.</w:t>
      </w:r>
    </w:p>
    <w:p>
      <w:pPr>
        <w:spacing w:after="120" w:before="0" w:line="300"/>
        <w:jc w:val="both"/>
      </w:pPr>
      <w:r>
        <w:rPr>
          <w:rFonts w:ascii="Times New Roman" w:cs="Times New Roman" w:eastAsia="Times New Roman" w:hAnsi="Times New Roman"/>
          <w:color w:val="2E2E2E"/>
          <w:sz w:val="22"/>
          <w:szCs w:val="22"/>
        </w:rPr>
        <w:t xml:space="preserve">Costs fall on prefectural budgets, which is the fiscal argument underlying charging proposals, though rescue expenditure is modest relative to the overall disaster response budgets it sits within.</w:t>
      </w:r>
    </w:p>
    <w:p>
      <w:pPr>
        <w:spacing w:after="120" w:before="0" w:line="300"/>
        <w:jc w:val="both"/>
      </w:pPr>
      <w:r>
        <w:rPr>
          <w:rFonts w:ascii="Times New Roman" w:cs="Times New Roman" w:eastAsia="Times New Roman" w:hAnsi="Times New Roman"/>
          <w:color w:val="2E2E2E"/>
          <w:sz w:val="22"/>
          <w:szCs w:val="22"/>
        </w:rPr>
        <w:t xml:space="preserve">Several countries charge for mountain rescue in defined circumstances, typically where negligence or disregard of closures is established, rather than billing every rescue uniformly.</w:t>
      </w:r>
    </w:p>
    <w:p>
      <w:pPr>
        <w:spacing w:after="120" w:before="0" w:line="300"/>
        <w:jc w:val="both"/>
      </w:pPr>
      <w:r>
        <w:rPr>
          <w:rFonts w:ascii="Times New Roman" w:cs="Times New Roman" w:eastAsia="Times New Roman" w:hAnsi="Times New Roman"/>
          <w:color w:val="2E2E2E"/>
          <w:sz w:val="22"/>
          <w:szCs w:val="22"/>
        </w:rPr>
        <w:t xml:space="preserve">Insurance-based approaches spread the cost across climbers generally through a levy or mandatory policy, an arrangement that preserves the incentive effect while removing the disincentive to call for help.</w:t>
      </w:r>
    </w:p>
    <w:p>
      <w:pPr>
        <w:spacing w:after="120" w:before="0" w:line="300"/>
        <w:jc w:val="both"/>
      </w:pPr>
      <w:r>
        <w:rPr>
          <w:rFonts w:ascii="Times New Roman" w:cs="Times New Roman" w:eastAsia="Times New Roman" w:hAnsi="Times New Roman"/>
          <w:color w:val="2E2E2E"/>
          <w:sz w:val="22"/>
          <w:szCs w:val="22"/>
        </w:rPr>
        <w:t xml:space="preserve">Japanese mountaineering organisations have generally favoured preparation requirements and plan filing over charging, on the view that the former prevent incidents while the latter only allocates their cost.</w:t>
      </w:r>
    </w:p>
    <w:p>
      <w:pPr>
        <w:spacing w:after="120" w:before="0" w:line="300"/>
        <w:jc w:val="both"/>
      </w:pPr>
      <w:r>
        <w:rPr>
          <w:rFonts w:ascii="Times New Roman" w:cs="Times New Roman" w:eastAsia="Times New Roman" w:hAnsi="Times New Roman"/>
          <w:color w:val="2E2E2E"/>
          <w:sz w:val="22"/>
          <w:szCs w:val="22"/>
        </w:rPr>
        <w:t xml:space="preserve">The two prefectures' divergent approaches will produce a natural comparison over the coming years, since climbers approach the same summit under different regimes depending on their chosen route.</w:t>
      </w:r>
    </w:p>
    <w:p>
      <w:pPr>
        <w:spacing w:after="200" w:before="40"/>
        <w:jc w:val="right"/>
      </w:pPr>
      <w:r>
        <w:rPr>
          <w:rFonts w:ascii="Helvetica" w:cs="Helvetica" w:eastAsia="Helvetica" w:hAnsi="Helvetica"/>
          <w:i/>
          <w:iCs/>
          <w:color w:val="888888"/>
          <w:sz w:val="16"/>
          <w:szCs w:val="16"/>
        </w:rPr>
        <w:t xml:space="preserve">[353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Landslide Risk Rises in Tohoku as Rain Accumulates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Vigilance against landslides and flooding is warranted across Tohoku as intermittent rain continues under the stalled autumn front, with maximum temperatures around 21 degrees in Iwate and comparable areas, according to reporting carried by Iwate Menkoi TV.</w:t>
      </w:r>
    </w:p>
    <w:p>
      <w:pPr>
        <w:spacing w:after="120" w:before="0" w:line="300"/>
        <w:jc w:val="both"/>
      </w:pPr>
      <w:r>
        <w:rPr>
          <w:rFonts w:ascii="Times New Roman" w:cs="Times New Roman" w:eastAsia="Times New Roman" w:hAnsi="Times New Roman"/>
          <w:color w:val="2E2E2E"/>
          <w:sz w:val="22"/>
          <w:szCs w:val="22"/>
        </w:rPr>
        <w:t xml:space="preserve">Landslide risk accumulates rather than arriving suddenly. Ground already saturated from previous rainfall absorbs less of what follows, which means the same rainfall total carries progressively greater danger the longer a wet pattern persists.</w:t>
      </w:r>
    </w:p>
    <w:p>
      <w:pPr>
        <w:spacing w:after="120" w:before="0" w:line="300"/>
        <w:jc w:val="both"/>
      </w:pPr>
      <w:r>
        <w:rPr>
          <w:rFonts w:ascii="Times New Roman" w:cs="Times New Roman" w:eastAsia="Times New Roman" w:hAnsi="Times New Roman"/>
          <w:color w:val="2E2E2E"/>
          <w:sz w:val="22"/>
          <w:szCs w:val="22"/>
        </w:rPr>
        <w:t xml:space="preserve">A stalled front produces exactly that accumulation, holding the same areas under rain-producing conditions repeatedly rather than passing through once.</w:t>
      </w:r>
    </w:p>
    <w:p>
      <w:pPr>
        <w:spacing w:after="120" w:before="0" w:line="300"/>
        <w:jc w:val="both"/>
      </w:pPr>
      <w:r>
        <w:rPr>
          <w:rFonts w:ascii="Times New Roman" w:cs="Times New Roman" w:eastAsia="Times New Roman" w:hAnsi="Times New Roman"/>
          <w:color w:val="2E2E2E"/>
          <w:sz w:val="22"/>
          <w:szCs w:val="22"/>
        </w:rPr>
        <w:t xml:space="preserve">Mountainous terrain across much of Tohoku places communities below slopes where saturated soil can fail with limited warning, which is why local advisories emphasise evacuation timing rather than rainfall totals alone.</w:t>
      </w:r>
    </w:p>
    <w:p>
      <w:pPr>
        <w:spacing w:after="120" w:before="0" w:line="300"/>
        <w:jc w:val="both"/>
      </w:pPr>
      <w:r>
        <w:rPr>
          <w:rFonts w:ascii="Times New Roman" w:cs="Times New Roman" w:eastAsia="Times New Roman" w:hAnsi="Times New Roman"/>
          <w:color w:val="2E2E2E"/>
          <w:sz w:val="22"/>
          <w:szCs w:val="22"/>
        </w:rPr>
        <w:t xml:space="preserve">Municipal disaster offices issue evacuation information on a tiered scale, and residents in vulnerable areas are advised to act on the earlier tiers rather than waiting for the most severe.</w:t>
      </w:r>
    </w:p>
    <w:p>
      <w:pPr>
        <w:spacing w:after="120" w:before="0" w:line="300"/>
        <w:jc w:val="both"/>
      </w:pPr>
      <w:r>
        <w:rPr>
          <w:rFonts w:ascii="Times New Roman" w:cs="Times New Roman" w:eastAsia="Times New Roman" w:hAnsi="Times New Roman"/>
          <w:color w:val="2E2E2E"/>
          <w:sz w:val="22"/>
          <w:szCs w:val="22"/>
        </w:rPr>
        <w:t xml:space="preserve">Forecasters have not indicated when the front will begin moving, leaving the accumulation pattern in place for the time being.</w:t>
      </w:r>
    </w:p>
    <w:p>
      <w:pPr>
        <w:spacing w:after="120" w:before="0" w:line="300"/>
        <w:jc w:val="both"/>
      </w:pPr>
      <w:r>
        <w:rPr>
          <w:rFonts w:ascii="Times New Roman" w:cs="Times New Roman" w:eastAsia="Times New Roman" w:hAnsi="Times New Roman"/>
          <w:color w:val="2E2E2E"/>
          <w:sz w:val="22"/>
          <w:szCs w:val="22"/>
        </w:rPr>
        <w:t xml:space="preserve">Tohoku's topography combines steep terrain with settlement concentrated in valleys and along coastal plains, a pattern that places communities downslope of the ground most likely to fail under saturation.</w:t>
      </w:r>
    </w:p>
    <w:p>
      <w:pPr>
        <w:spacing w:after="120" w:before="0" w:line="300"/>
        <w:jc w:val="both"/>
      </w:pPr>
      <w:r>
        <w:rPr>
          <w:rFonts w:ascii="Times New Roman" w:cs="Times New Roman" w:eastAsia="Times New Roman" w:hAnsi="Times New Roman"/>
          <w:color w:val="2E2E2E"/>
          <w:sz w:val="22"/>
          <w:szCs w:val="22"/>
        </w:rPr>
        <w:t xml:space="preserve">Landslide warning systems in Japan combine rainfall measurement with soil water index calculations, which estimate accumulated moisture rather than treating each rainfall event in isolation.</w:t>
      </w:r>
    </w:p>
    <w:p>
      <w:pPr>
        <w:spacing w:after="120" w:before="0" w:line="300"/>
        <w:jc w:val="both"/>
      </w:pPr>
      <w:r>
        <w:rPr>
          <w:rFonts w:ascii="Times New Roman" w:cs="Times New Roman" w:eastAsia="Times New Roman" w:hAnsi="Times New Roman"/>
          <w:color w:val="2E2E2E"/>
          <w:sz w:val="22"/>
          <w:szCs w:val="22"/>
        </w:rPr>
        <w:t xml:space="preserve">That distinction matters because the same hourly rainfall carries very different risk depending on what has fallen in preceding days, which is exactly the situation a stalled front produces.</w:t>
      </w:r>
    </w:p>
    <w:p>
      <w:pPr>
        <w:spacing w:after="120" w:before="0" w:line="300"/>
        <w:jc w:val="both"/>
      </w:pPr>
      <w:r>
        <w:rPr>
          <w:rFonts w:ascii="Times New Roman" w:cs="Times New Roman" w:eastAsia="Times New Roman" w:hAnsi="Times New Roman"/>
          <w:color w:val="2E2E2E"/>
          <w:sz w:val="22"/>
          <w:szCs w:val="22"/>
        </w:rPr>
        <w:t xml:space="preserve">Evacuation advisories are issued by municipalities rather than national agencies, using the tiered scale that runs from preparation through to emergency safety measures.</w:t>
      </w:r>
    </w:p>
    <w:p>
      <w:pPr>
        <w:spacing w:after="120" w:before="0" w:line="300"/>
        <w:jc w:val="both"/>
      </w:pPr>
      <w:r>
        <w:rPr>
          <w:rFonts w:ascii="Times New Roman" w:cs="Times New Roman" w:eastAsia="Times New Roman" w:hAnsi="Times New Roman"/>
          <w:color w:val="2E2E2E"/>
          <w:sz w:val="22"/>
          <w:szCs w:val="22"/>
        </w:rPr>
        <w:t xml:space="preserve">Research following recent disasters has consistently found that residents delay evacuation, frequently because conditions do not appear dangerous at the moment the advisory is issued.</w:t>
      </w:r>
    </w:p>
    <w:p>
      <w:pPr>
        <w:spacing w:after="120" w:before="0" w:line="300"/>
        <w:jc w:val="both"/>
      </w:pPr>
      <w:r>
        <w:rPr>
          <w:rFonts w:ascii="Times New Roman" w:cs="Times New Roman" w:eastAsia="Times New Roman" w:hAnsi="Times New Roman"/>
          <w:color w:val="2E2E2E"/>
          <w:sz w:val="22"/>
          <w:szCs w:val="22"/>
        </w:rPr>
        <w:t xml:space="preserve">Iwate and neighbouring prefectures have experienced significant flood and landslide events in recent years, giving local authorities recent operational experience with the sequence now developing.</w:t>
      </w:r>
    </w:p>
    <w:p>
      <w:pPr>
        <w:spacing w:after="200" w:before="40"/>
        <w:jc w:val="right"/>
      </w:pPr>
      <w:r>
        <w:rPr>
          <w:rFonts w:ascii="Helvetica" w:cs="Helvetica" w:eastAsia="Helvetica" w:hAnsi="Helvetica"/>
          <w:i/>
          <w:iCs/>
          <w:color w:val="888888"/>
          <w:sz w:val="16"/>
          <w:szCs w:val="16"/>
        </w:rPr>
        <w:t xml:space="preserve">[328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Nankai Trough, and Why Hamaoka's Seismic Data Carried Such Weight</w:t>
      </w:r>
    </w:p>
    <w:p>
      <w:pPr>
        <w:pBdr>
          <w:bottom w:val="single" w:color="CCCCCC" w:sz="4"/>
        </w:pBdr>
        <w:spacing w:after="120" w:before="40"/>
      </w:pPr>
      <w:r>
        <w:rPr>
          <w:rFonts w:ascii="Helvetica" w:cs="Helvetica" w:eastAsia="Helvetica" w:hAnsi="Helvetica"/>
          <w:i/>
          <w:iCs/>
          <w:color w:val="888888"/>
          <w:sz w:val="18"/>
          <w:szCs w:val="18"/>
        </w:rPr>
        <w:t xml:space="preserve">By Maya Suzuki | Science &amp; Innovation Desk</w:t>
      </w:r>
    </w:p>
    <w:p>
      <w:pPr>
        <w:spacing w:after="120" w:before="0" w:line="300"/>
        <w:jc w:val="both"/>
      </w:pPr>
      <w:r>
        <w:rPr>
          <w:rFonts w:ascii="Times New Roman" w:cs="Times New Roman" w:eastAsia="Times New Roman" w:hAnsi="Times New Roman"/>
          <w:color w:val="2E2E2E"/>
          <w:sz w:val="22"/>
          <w:szCs w:val="22"/>
        </w:rPr>
        <w:t xml:space="preserve">The Hamaoka plant's location gives the seismic data at the centre of this week's scandal a significance that a comparable failure at an inland site would not carry, and the reason lies offshore.</w:t>
      </w:r>
    </w:p>
    <w:p>
      <w:pPr>
        <w:spacing w:after="120" w:before="0" w:line="300"/>
        <w:jc w:val="both"/>
      </w:pPr>
      <w:r>
        <w:rPr>
          <w:rFonts w:ascii="Times New Roman" w:cs="Times New Roman" w:eastAsia="Times New Roman" w:hAnsi="Times New Roman"/>
          <w:color w:val="2E2E2E"/>
          <w:sz w:val="22"/>
          <w:szCs w:val="22"/>
        </w:rPr>
        <w:t xml:space="preserve">The Nankai Trough runs along the Pacific seabed off central and western Japan, marking the boundary where the Philippine Sea Plate descends beneath the Japanese landmass, and it has produced great earthquakes at intervals throughout recorded history.</w:t>
      </w:r>
    </w:p>
    <w:p>
      <w:pPr>
        <w:spacing w:after="120" w:before="0" w:line="300"/>
        <w:jc w:val="both"/>
      </w:pPr>
      <w:r>
        <w:rPr>
          <w:rFonts w:ascii="Times New Roman" w:cs="Times New Roman" w:eastAsia="Times New Roman" w:hAnsi="Times New Roman"/>
          <w:color w:val="2E2E2E"/>
          <w:sz w:val="22"/>
          <w:szCs w:val="22"/>
        </w:rPr>
        <w:t xml:space="preserve">Government assessments have for years placed a high probability on a major Nankai Trough earthquake within the coming decades, and planning scenarios for such an event envisage strong shaking and tsunami across a wide arc of coastline.</w:t>
      </w:r>
    </w:p>
    <w:p>
      <w:pPr>
        <w:spacing w:after="120" w:before="0" w:line="300"/>
        <w:jc w:val="both"/>
      </w:pPr>
      <w:r>
        <w:rPr>
          <w:rFonts w:ascii="Times New Roman" w:cs="Times New Roman" w:eastAsia="Times New Roman" w:hAnsi="Times New Roman"/>
          <w:color w:val="2E2E2E"/>
          <w:sz w:val="22"/>
          <w:szCs w:val="22"/>
        </w:rPr>
        <w:t xml:space="preserve">Shizuoka Prefecture sits squarely within that arc. The Tokai segment of the trough, directly offshore from Hamaoka, has been the subject of dedicated monitoring and warning arrangements since the 1970s.</w:t>
      </w:r>
    </w:p>
    <w:p>
      <w:pPr>
        <w:spacing w:after="120" w:before="0" w:line="300"/>
        <w:jc w:val="both"/>
      </w:pPr>
      <w:r>
        <w:rPr>
          <w:rFonts w:ascii="Times New Roman" w:cs="Times New Roman" w:eastAsia="Times New Roman" w:hAnsi="Times New Roman"/>
          <w:color w:val="2E2E2E"/>
          <w:sz w:val="22"/>
          <w:szCs w:val="22"/>
        </w:rPr>
        <w:t xml:space="preserve">That geography was the reason the government asked Chubu Electric to suspend operations at Hamaoka in 2011, in the weeks after Fukushima, a request the company accepted before the plant had suffered any incident of its own.</w:t>
      </w:r>
    </w:p>
    <w:p>
      <w:pPr>
        <w:spacing w:after="120" w:before="0" w:line="300"/>
        <w:jc w:val="both"/>
      </w:pPr>
      <w:r>
        <w:rPr>
          <w:rFonts w:ascii="Times New Roman" w:cs="Times New Roman" w:eastAsia="Times New Roman" w:hAnsi="Times New Roman"/>
          <w:color w:val="2E2E2E"/>
          <w:sz w:val="22"/>
          <w:szCs w:val="22"/>
        </w:rPr>
        <w:t xml:space="preserve">Restart therefore required demonstrating that the plant could withstand the strongest shaking the trough could produce at the site, a figure derived from geological survey, historical records and modelling.</w:t>
      </w:r>
    </w:p>
    <w:p>
      <w:pPr>
        <w:spacing w:after="120" w:before="0" w:line="300"/>
        <w:jc w:val="both"/>
      </w:pPr>
      <w:r>
        <w:rPr>
          <w:rFonts w:ascii="Times New Roman" w:cs="Times New Roman" w:eastAsia="Times New Roman" w:hAnsi="Times New Roman"/>
          <w:color w:val="2E2E2E"/>
          <w:sz w:val="22"/>
          <w:szCs w:val="22"/>
        </w:rPr>
        <w:t xml:space="preserve">Every structural and safety-system assessment downstream depends on that figure being right. A plant designed against understated ground motion is a plant designed to a specification the earthquake will not respect.</w:t>
      </w:r>
    </w:p>
    <w:p>
      <w:pPr>
        <w:spacing w:after="120" w:before="0" w:line="300"/>
        <w:jc w:val="both"/>
      </w:pPr>
      <w:r>
        <w:rPr>
          <w:rFonts w:ascii="Times New Roman" w:cs="Times New Roman" w:eastAsia="Times New Roman" w:hAnsi="Times New Roman"/>
          <w:color w:val="2E2E2E"/>
          <w:sz w:val="22"/>
          <w:szCs w:val="22"/>
        </w:rPr>
        <w:t xml:space="preserve">The falsification of 208 seismic motion readings therefore does not merely misstate a risk. It misstates the standard against which the entire physical safety case was measured.</w:t>
      </w:r>
    </w:p>
    <w:p>
      <w:pPr>
        <w:spacing w:after="120" w:before="0" w:line="300"/>
        <w:jc w:val="both"/>
      </w:pPr>
      <w:r>
        <w:rPr>
          <w:rFonts w:ascii="Times New Roman" w:cs="Times New Roman" w:eastAsia="Times New Roman" w:hAnsi="Times New Roman"/>
          <w:color w:val="2E2E2E"/>
          <w:sz w:val="22"/>
          <w:szCs w:val="22"/>
        </w:rPr>
        <w:t xml:space="preserve">Japan's approach to earthquake risk assessment has evolved considerably since the 1995 Kobe earthquake exposed gaps in earlier assumptions, and the 2011 disaster prompted a further revision that raised assumed maximum magnitudes for several subduction zones.</w:t>
      </w:r>
    </w:p>
    <w:p>
      <w:pPr>
        <w:spacing w:after="120" w:before="0" w:line="300"/>
        <w:jc w:val="both"/>
      </w:pPr>
      <w:r>
        <w:rPr>
          <w:rFonts w:ascii="Times New Roman" w:cs="Times New Roman" w:eastAsia="Times New Roman" w:hAnsi="Times New Roman"/>
          <w:color w:val="2E2E2E"/>
          <w:sz w:val="22"/>
          <w:szCs w:val="22"/>
        </w:rPr>
        <w:t xml:space="preserve">Those revisions are the reason the post-2011 review standards demand more of coastal plants than the rules under which the fleet was originally licensed.</w:t>
      </w:r>
    </w:p>
    <w:p>
      <w:pPr>
        <w:spacing w:after="120" w:before="0" w:line="300"/>
        <w:jc w:val="both"/>
      </w:pPr>
      <w:r>
        <w:rPr>
          <w:rFonts w:ascii="Times New Roman" w:cs="Times New Roman" w:eastAsia="Times New Roman" w:hAnsi="Times New Roman"/>
          <w:color w:val="2E2E2E"/>
          <w:sz w:val="22"/>
          <w:szCs w:val="22"/>
        </w:rPr>
        <w:t xml:space="preserve">Residents of the region live with the Nankai Trough as a background condition, with evacuation planning, building standards and school drills all shaped by it, which is why local consent for a restart was always going to depend on trust in the numbers.</w:t>
      </w:r>
    </w:p>
    <w:p>
      <w:pPr>
        <w:spacing w:after="120" w:before="0" w:line="300"/>
        <w:jc w:val="both"/>
      </w:pPr>
      <w:r>
        <w:rPr>
          <w:rFonts w:ascii="Times New Roman" w:cs="Times New Roman" w:eastAsia="Times New Roman" w:hAnsi="Times New Roman"/>
          <w:color w:val="2E2E2E"/>
          <w:sz w:val="22"/>
          <w:szCs w:val="22"/>
        </w:rPr>
        <w:t xml:space="preserve">That trust is the asset the company has now damaged, and it is not one that a resubmitted dataset restores.</w:t>
      </w:r>
    </w:p>
    <w:p>
      <w:pPr>
        <w:spacing w:after="200" w:before="40"/>
        <w:jc w:val="right"/>
      </w:pPr>
      <w:r>
        <w:rPr>
          <w:rFonts w:ascii="Helvetica" w:cs="Helvetica" w:eastAsia="Helvetica" w:hAnsi="Helvetica"/>
          <w:i/>
          <w:iCs/>
          <w:color w:val="888888"/>
          <w:sz w:val="16"/>
          <w:szCs w:val="16"/>
        </w:rPr>
        <w:t xml:space="preserve">[384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How Japan's Five-Tier Disaster Alerts Work</w:t>
      </w:r>
    </w:p>
    <w:p>
      <w:pPr>
        <w:spacing w:after="40" w:before="40"/>
      </w:pPr>
      <w:r>
        <w:rPr>
          <w:rFonts w:ascii="Times New Roman" w:cs="Times New Roman" w:eastAsia="Times New Roman" w:hAnsi="Times New Roman"/>
          <w:i/>
          <w:iCs/>
          <w:color w:val="9B1B2A"/>
          <w:sz w:val="22"/>
          <w:szCs w:val="22"/>
        </w:rPr>
        <w:t xml:space="preserve">With the autumn front stalled over Honshu, the system now issuing advisories across Tohoku rewards understanding</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alerts municipalities issue during heavy rain follow a five-level scale introduced in 2019 and refined since, designed to convert weather information into a clear instruction about what residents should do.</w:t>
      </w:r>
    </w:p>
    <w:p>
      <w:pPr>
        <w:spacing w:after="120" w:before="0" w:line="300"/>
        <w:jc w:val="both"/>
      </w:pPr>
      <w:r>
        <w:rPr>
          <w:rFonts w:ascii="Times New Roman" w:cs="Times New Roman" w:eastAsia="Times New Roman" w:hAnsi="Times New Roman"/>
          <w:color w:val="2E2E2E"/>
          <w:sz w:val="22"/>
          <w:szCs w:val="22"/>
        </w:rPr>
        <w:t xml:space="preserve">Level 1 signals early attention, indicating that conditions may develop and that residents should keep informed. Level 2 asks residents to check evacuation routes and prepare.</w:t>
      </w:r>
    </w:p>
    <w:p>
      <w:pPr>
        <w:spacing w:after="120" w:before="0" w:line="300"/>
        <w:jc w:val="both"/>
      </w:pPr>
      <w:r>
        <w:rPr>
          <w:rFonts w:ascii="Times New Roman" w:cs="Times New Roman" w:eastAsia="Times New Roman" w:hAnsi="Times New Roman"/>
          <w:color w:val="2E2E2E"/>
          <w:sz w:val="22"/>
          <w:szCs w:val="22"/>
        </w:rPr>
        <w:t xml:space="preserve">Level 3 is the point at which action begins for those who need more time. It calls on older residents, people with disabilities and others requiring assistance to evacuate, and asks everyone else to prepare to do so.</w:t>
      </w:r>
    </w:p>
    <w:p>
      <w:pPr>
        <w:spacing w:after="120" w:before="0" w:line="300"/>
        <w:jc w:val="both"/>
      </w:pPr>
      <w:r>
        <w:rPr>
          <w:rFonts w:ascii="Times New Roman" w:cs="Times New Roman" w:eastAsia="Times New Roman" w:hAnsi="Times New Roman"/>
          <w:color w:val="2E2E2E"/>
          <w:sz w:val="22"/>
          <w:szCs w:val="22"/>
        </w:rPr>
        <w:t xml:space="preserve">Level 4 is the instruction to evacuate. Everyone in the designated area should leave for safety, and disaster management officials consistently stress that this is the level at which movement must happen rather than the level after it.</w:t>
      </w:r>
    </w:p>
    <w:p>
      <w:pPr>
        <w:spacing w:after="120" w:before="0" w:line="300"/>
        <w:jc w:val="both"/>
      </w:pPr>
      <w:r>
        <w:rPr>
          <w:rFonts w:ascii="Times New Roman" w:cs="Times New Roman" w:eastAsia="Times New Roman" w:hAnsi="Times New Roman"/>
          <w:color w:val="2E2E2E"/>
          <w:sz w:val="22"/>
          <w:szCs w:val="22"/>
        </w:rPr>
        <w:t xml:space="preserve">Level 5 indicates that a disaster is occurring or imminent and that safe evacuation may no longer be possible. It asks residents to take whatever immediate action protects life, which may mean moving to an upper floor rather than attempting to leave.</w:t>
      </w:r>
    </w:p>
    <w:p>
      <w:pPr>
        <w:spacing w:after="120" w:before="0" w:line="300"/>
        <w:jc w:val="both"/>
      </w:pPr>
      <w:r>
        <w:rPr>
          <w:rFonts w:ascii="Times New Roman" w:cs="Times New Roman" w:eastAsia="Times New Roman" w:hAnsi="Times New Roman"/>
          <w:color w:val="2E2E2E"/>
          <w:sz w:val="22"/>
          <w:szCs w:val="22"/>
        </w:rPr>
        <w:t xml:space="preserve">The scale's designers placed the evacuation instruction at Level 4 precisely because experience showed residents waiting for the final warning, by which point roads had flooded and slopes had begun to fail.</w:t>
      </w:r>
    </w:p>
    <w:p>
      <w:pPr>
        <w:spacing w:after="120" w:before="0" w:line="300"/>
        <w:jc w:val="both"/>
      </w:pPr>
      <w:r>
        <w:rPr>
          <w:rFonts w:ascii="Times New Roman" w:cs="Times New Roman" w:eastAsia="Times New Roman" w:hAnsi="Times New Roman"/>
          <w:color w:val="2E2E2E"/>
          <w:sz w:val="22"/>
          <w:szCs w:val="22"/>
        </w:rPr>
        <w:t xml:space="preserve">Alerts are issued by municipalities, which hold the local knowledge of which districts face which hazards, drawing on Japan Meteorological Agency data and on their own monitoring.</w:t>
      </w:r>
    </w:p>
    <w:p>
      <w:pPr>
        <w:spacing w:after="120" w:before="0" w:line="300"/>
        <w:jc w:val="both"/>
      </w:pPr>
      <w:r>
        <w:rPr>
          <w:rFonts w:ascii="Times New Roman" w:cs="Times New Roman" w:eastAsia="Times New Roman" w:hAnsi="Times New Roman"/>
          <w:color w:val="2E2E2E"/>
          <w:sz w:val="22"/>
          <w:szCs w:val="22"/>
        </w:rPr>
        <w:t xml:space="preserve">Landslide risk is assessed using a soil water index that accounts for accumulated rainfall rather than treating each event separately, which is why a stalled front raises the level even when hourly totals are modest.</w:t>
      </w:r>
    </w:p>
    <w:p>
      <w:pPr>
        <w:spacing w:after="120" w:before="0" w:line="300"/>
        <w:jc w:val="both"/>
      </w:pPr>
      <w:r>
        <w:rPr>
          <w:rFonts w:ascii="Times New Roman" w:cs="Times New Roman" w:eastAsia="Times New Roman" w:hAnsi="Times New Roman"/>
          <w:color w:val="2E2E2E"/>
          <w:sz w:val="22"/>
          <w:szCs w:val="22"/>
        </w:rPr>
        <w:t xml:space="preserve">Advisories reach residents through municipal broadcast systems, mobile alerts, television and radio, with redundancy across channels intended to reach those who might miss any single one.</w:t>
      </w:r>
    </w:p>
    <w:p>
      <w:pPr>
        <w:spacing w:after="120" w:before="0" w:line="300"/>
        <w:jc w:val="both"/>
      </w:pPr>
      <w:r>
        <w:rPr>
          <w:rFonts w:ascii="Times New Roman" w:cs="Times New Roman" w:eastAsia="Times New Roman" w:hAnsi="Times New Roman"/>
          <w:color w:val="2E2E2E"/>
          <w:sz w:val="22"/>
          <w:szCs w:val="22"/>
        </w:rPr>
        <w:t xml:space="preserve">Research following recent disasters consistently finds that residents delay, frequently because conditions do not look dangerous at the moment of the advisory, a gap the tiered system was designed to close.</w:t>
      </w:r>
    </w:p>
    <w:p>
      <w:pPr>
        <w:spacing w:after="120" w:before="0" w:line="300"/>
        <w:jc w:val="both"/>
      </w:pPr>
      <w:r>
        <w:rPr>
          <w:rFonts w:ascii="Times New Roman" w:cs="Times New Roman" w:eastAsia="Times New Roman" w:hAnsi="Times New Roman"/>
          <w:color w:val="2E2E2E"/>
          <w:sz w:val="22"/>
          <w:szCs w:val="22"/>
        </w:rPr>
        <w:t xml:space="preserve">With rain continuing across Tohoku and the Sea of Japan coast under the stalled autumn front, the practical advice from disaster officials is unchanged: act on Level 3 if you need time, act on Level 4 regardless.</w:t>
      </w:r>
    </w:p>
    <w:p>
      <w:pPr>
        <w:spacing w:after="200" w:before="40"/>
        <w:jc w:val="right"/>
      </w:pPr>
      <w:r>
        <w:rPr>
          <w:rFonts w:ascii="Helvetica" w:cs="Helvetica" w:eastAsia="Helvetica" w:hAnsi="Helvetica"/>
          <w:i/>
          <w:iCs/>
          <w:color w:val="888888"/>
          <w:sz w:val="16"/>
          <w:szCs w:val="16"/>
        </w:rPr>
        <w:t xml:space="preserve">[363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For Okinawa's Residents, a Change of Governor Changes Little Day to Day</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A change of prefectural government is a large political event and a small administrative one, and Okinawa's residents are experiencing the second even as national coverage dwells on the first.</w:t>
      </w:r>
    </w:p>
    <w:p>
      <w:pPr>
        <w:spacing w:after="120" w:before="0" w:line="300"/>
        <w:jc w:val="both"/>
      </w:pPr>
      <w:r>
        <w:rPr>
          <w:rFonts w:ascii="Times New Roman" w:cs="Times New Roman" w:eastAsia="Times New Roman" w:hAnsi="Times New Roman"/>
          <w:color w:val="2E2E2E"/>
          <w:sz w:val="22"/>
          <w:szCs w:val="22"/>
        </w:rPr>
        <w:t xml:space="preserve">Schools, hospitals, public transport and municipal services operate under structures that a gubernatorial transition does not touch, staffed by career officials whose employment does not depend on the election result.</w:t>
      </w:r>
    </w:p>
    <w:p>
      <w:pPr>
        <w:spacing w:after="120" w:before="0" w:line="300"/>
        <w:jc w:val="both"/>
      </w:pPr>
      <w:r>
        <w:rPr>
          <w:rFonts w:ascii="Times New Roman" w:cs="Times New Roman" w:eastAsia="Times New Roman" w:hAnsi="Times New Roman"/>
          <w:color w:val="2E2E2E"/>
          <w:sz w:val="22"/>
          <w:szCs w:val="22"/>
        </w:rPr>
        <w:t xml:space="preserve">Prefectural budgets run on fiscal years, and the current year's allocations continue to be spent as planned regardless of who holds the governorship, with the new administration's priorities appearing in the budget it prepares for the year ahead.</w:t>
      </w:r>
    </w:p>
    <w:p>
      <w:pPr>
        <w:spacing w:after="120" w:before="0" w:line="300"/>
        <w:jc w:val="both"/>
      </w:pPr>
      <w:r>
        <w:rPr>
          <w:rFonts w:ascii="Times New Roman" w:cs="Times New Roman" w:eastAsia="Times New Roman" w:hAnsi="Times New Roman"/>
          <w:color w:val="2E2E2E"/>
          <w:sz w:val="22"/>
          <w:szCs w:val="22"/>
        </w:rPr>
        <w:t xml:space="preserve">Where residents may notice change sooner is in the prefecture's public posture, including how the governor's office communicates about the base question and the tone of its dealings with Tokyo.</w:t>
      </w:r>
    </w:p>
    <w:p>
      <w:pPr>
        <w:spacing w:after="120" w:before="0" w:line="300"/>
        <w:jc w:val="both"/>
      </w:pPr>
      <w:r>
        <w:rPr>
          <w:rFonts w:ascii="Times New Roman" w:cs="Times New Roman" w:eastAsia="Times New Roman" w:hAnsi="Times New Roman"/>
          <w:color w:val="2E2E2E"/>
          <w:sz w:val="22"/>
          <w:szCs w:val="22"/>
        </w:rPr>
        <w:t xml:space="preserve">The development budget's adjustment beyond 300 billion yen will take time to translate into projects, since allocation and execution follow their own procedural sequence.</w:t>
      </w:r>
    </w:p>
    <w:p>
      <w:pPr>
        <w:spacing w:after="120" w:before="0" w:line="300"/>
        <w:jc w:val="both"/>
      </w:pPr>
      <w:r>
        <w:rPr>
          <w:rFonts w:ascii="Times New Roman" w:cs="Times New Roman" w:eastAsia="Times New Roman" w:hAnsi="Times New Roman"/>
          <w:color w:val="2E2E2E"/>
          <w:sz w:val="22"/>
          <w:szCs w:val="22"/>
        </w:rPr>
        <w:t xml:space="preserve">Tourism, the prefecture's largest employer, continues on its own rhythm, with the autumn season proceeding under the same conditions that applied before Sunday.</w:t>
      </w:r>
    </w:p>
    <w:p>
      <w:pPr>
        <w:spacing w:after="120" w:before="0" w:line="300"/>
        <w:jc w:val="both"/>
      </w:pPr>
      <w:r>
        <w:rPr>
          <w:rFonts w:ascii="Times New Roman" w:cs="Times New Roman" w:eastAsia="Times New Roman" w:hAnsi="Times New Roman"/>
          <w:color w:val="2E2E2E"/>
          <w:sz w:val="22"/>
          <w:szCs w:val="22"/>
        </w:rPr>
        <w:t xml:space="preserve">Residents in areas near American facilities face an unchanged daily reality of aircraft noise and base-related traffic, matters the prefectural government handles through channels that do not depend on the governor's position on Henoko.</w:t>
      </w:r>
    </w:p>
    <w:p>
      <w:pPr>
        <w:spacing w:after="120" w:before="0" w:line="300"/>
        <w:jc w:val="both"/>
      </w:pPr>
      <w:r>
        <w:rPr>
          <w:rFonts w:ascii="Times New Roman" w:cs="Times New Roman" w:eastAsia="Times New Roman" w:hAnsi="Times New Roman"/>
          <w:color w:val="2E2E2E"/>
          <w:sz w:val="22"/>
          <w:szCs w:val="22"/>
        </w:rPr>
        <w:t xml:space="preserve">Local media in Okinawa will scrutinise the transition closely, as they have every administration since reversion, and their coverage will shape how residents perceive the change over the coming months.</w:t>
      </w:r>
    </w:p>
    <w:p>
      <w:pPr>
        <w:spacing w:after="120" w:before="0" w:line="300"/>
        <w:jc w:val="both"/>
      </w:pPr>
      <w:r>
        <w:rPr>
          <w:rFonts w:ascii="Times New Roman" w:cs="Times New Roman" w:eastAsia="Times New Roman" w:hAnsi="Times New Roman"/>
          <w:color w:val="2E2E2E"/>
          <w:sz w:val="22"/>
          <w:szCs w:val="22"/>
        </w:rPr>
        <w:t xml:space="preserve">The exit polling that found young voters prioritising the economy over the base issue describes a constituency whose expectations will now be measured against wage and price outcomes rather than against the relocation's progress.</w:t>
      </w:r>
    </w:p>
    <w:p>
      <w:pPr>
        <w:spacing w:after="120" w:before="0" w:line="300"/>
        <w:jc w:val="both"/>
      </w:pPr>
      <w:r>
        <w:rPr>
          <w:rFonts w:ascii="Times New Roman" w:cs="Times New Roman" w:eastAsia="Times New Roman" w:hAnsi="Times New Roman"/>
          <w:color w:val="2E2E2E"/>
          <w:sz w:val="22"/>
          <w:szCs w:val="22"/>
        </w:rPr>
        <w:t xml:space="preserve">Prefectural assembly elections follow their own cycle, and the assembly's composition, unchanged by Sunday, will determine how readily the new administration's programme advances.</w:t>
      </w:r>
    </w:p>
    <w:p>
      <w:pPr>
        <w:spacing w:after="120" w:before="0" w:line="300"/>
        <w:jc w:val="both"/>
      </w:pPr>
      <w:r>
        <w:rPr>
          <w:rFonts w:ascii="Times New Roman" w:cs="Times New Roman" w:eastAsia="Times New Roman" w:hAnsi="Times New Roman"/>
          <w:color w:val="2E2E2E"/>
          <w:sz w:val="22"/>
          <w:szCs w:val="22"/>
        </w:rPr>
        <w:t xml:space="preserve">For most residents the practical effect of the transition will register slowly, in budget priorities and in the character of the prefecture's relationship with the central government rather than in any single visible change.</w:t>
      </w:r>
    </w:p>
    <w:p>
      <w:pPr>
        <w:spacing w:after="200" w:before="40"/>
        <w:jc w:val="right"/>
      </w:pPr>
      <w:r>
        <w:rPr>
          <w:rFonts w:ascii="Helvetica" w:cs="Helvetica" w:eastAsia="Helvetica" w:hAnsi="Helvetica"/>
          <w:i/>
          <w:iCs/>
          <w:color w:val="888888"/>
          <w:sz w:val="16"/>
          <w:szCs w:val="16"/>
        </w:rPr>
        <w:t xml:space="preserve">[330 words]</w:t>
      </w:r>
    </w:p>
    <w:p>
      <w:pPr>
        <w:shd w:fill="0D1B2A" w:color="auto" w:val="clear"/>
        <w:spacing w:after="160" w:before="300"/>
        <w:jc w:val="center"/>
      </w:pPr>
      <w:r>
        <w:rPr>
          <w:rFonts w:ascii="Helvetica" w:cs="Helvetica" w:eastAsia="Helvetica" w:hAnsi="Helvetica"/>
          <w:b/>
          <w:bCs/>
          <w:color w:val="FFFFFF"/>
          <w:sz w:val="24"/>
          <w:szCs w:val="24"/>
        </w:rPr>
        <w:t xml:space="preserve">— SPORTS —</w:t>
      </w:r>
    </w:p>
    <w:p>
      <w:pPr>
        <w:pBdr>
          <w:top w:val="thick" w:color="9B1B2A" w:sz="18"/>
        </w:pBdr>
        <w:spacing w:after="80" w:before="160"/>
      </w:pPr>
      <w:r>
        <w:rPr>
          <w:rFonts w:ascii="Times New Roman" w:cs="Times New Roman" w:eastAsia="Times New Roman" w:hAnsi="Times New Roman"/>
          <w:b/>
          <w:bCs/>
          <w:color w:val="0D1B2A"/>
          <w:sz w:val="40"/>
          <w:szCs w:val="40"/>
        </w:rPr>
        <w:t xml:space="preserve">Nadeshiko Japan Open Asian Games With 8-0 Win Over Thailand</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Nadeshiko Japan began their Asian Games campaign with a dominant 8-0 victory over Thailand, according to Yomiuri Shimbun, an opening result that removes any question about goal difference before the tournament properly begins.</w:t>
      </w:r>
    </w:p>
    <w:p>
      <w:pPr>
        <w:spacing w:after="120" w:before="0" w:line="300"/>
        <w:jc w:val="both"/>
      </w:pPr>
      <w:r>
        <w:rPr>
          <w:rFonts w:ascii="Times New Roman" w:cs="Times New Roman" w:eastAsia="Times New Roman" w:hAnsi="Times New Roman"/>
          <w:color w:val="2E2E2E"/>
          <w:sz w:val="22"/>
          <w:szCs w:val="22"/>
        </w:rPr>
        <w:t xml:space="preserve">An eight-goal margin in a group opener is worth more than the three points it delivers. Goal difference frequently decides qualification from tight groups, and banking a cushion of this size in the first match gives a squad room to rotate later.</w:t>
      </w:r>
    </w:p>
    <w:p>
      <w:pPr>
        <w:spacing w:after="120" w:before="0" w:line="300"/>
        <w:jc w:val="both"/>
      </w:pPr>
      <w:r>
        <w:rPr>
          <w:rFonts w:ascii="Times New Roman" w:cs="Times New Roman" w:eastAsia="Times New Roman" w:hAnsi="Times New Roman"/>
          <w:color w:val="2E2E2E"/>
          <w:sz w:val="22"/>
          <w:szCs w:val="22"/>
        </w:rPr>
        <w:t xml:space="preserve">Japan's women's programme carries a pedigree few in Asia can match, built on the 2011 World Cup title and sustained by a domestic league and youth structure that has continued producing internationally competitive players since.</w:t>
      </w:r>
    </w:p>
    <w:p>
      <w:pPr>
        <w:spacing w:after="120" w:before="0" w:line="300"/>
        <w:jc w:val="both"/>
      </w:pPr>
      <w:r>
        <w:rPr>
          <w:rFonts w:ascii="Times New Roman" w:cs="Times New Roman" w:eastAsia="Times New Roman" w:hAnsi="Times New Roman"/>
          <w:color w:val="2E2E2E"/>
          <w:sz w:val="22"/>
          <w:szCs w:val="22"/>
        </w:rPr>
        <w:t xml:space="preserve">Host advantage is real in a tournament of this kind, with familiar venues, no travel fatigue and home support, and Japan's opening performance suggested a squad comfortable with the expectations that come attached.</w:t>
      </w:r>
    </w:p>
    <w:p>
      <w:pPr>
        <w:spacing w:after="120" w:before="0" w:line="300"/>
        <w:jc w:val="both"/>
      </w:pPr>
      <w:r>
        <w:rPr>
          <w:rFonts w:ascii="Times New Roman" w:cs="Times New Roman" w:eastAsia="Times New Roman" w:hAnsi="Times New Roman"/>
          <w:color w:val="2E2E2E"/>
          <w:sz w:val="22"/>
          <w:szCs w:val="22"/>
        </w:rPr>
        <w:t xml:space="preserve">Thailand's women's programme has developed considerably over the past decade, which makes the scoreline a statement about Japan's own form rather than simply a reflection of the opposition's limits.</w:t>
      </w:r>
    </w:p>
    <w:p>
      <w:pPr>
        <w:spacing w:after="120" w:before="0" w:line="300"/>
        <w:jc w:val="both"/>
      </w:pPr>
      <w:r>
        <w:rPr>
          <w:rFonts w:ascii="Times New Roman" w:cs="Times New Roman" w:eastAsia="Times New Roman" w:hAnsi="Times New Roman"/>
          <w:color w:val="2E2E2E"/>
          <w:sz w:val="22"/>
          <w:szCs w:val="22"/>
        </w:rPr>
        <w:t xml:space="preserve">The men's volleyball team has already secured the Asian Championship and with it a place at the Los Angeles Olympics, giving Japan two strong markers early in this Games.</w:t>
      </w:r>
    </w:p>
    <w:p>
      <w:pPr>
        <w:spacing w:after="120" w:before="0" w:line="300"/>
        <w:jc w:val="both"/>
      </w:pPr>
      <w:r>
        <w:rPr>
          <w:rFonts w:ascii="Times New Roman" w:cs="Times New Roman" w:eastAsia="Times New Roman" w:hAnsi="Times New Roman"/>
          <w:color w:val="2E2E2E"/>
          <w:sz w:val="22"/>
          <w:szCs w:val="22"/>
        </w:rPr>
        <w:t xml:space="preserve">Later group matches will test the squad more thoroughly, with the knockout rounds the point at which the tournament's genuine contenders separate.</w:t>
      </w:r>
    </w:p>
    <w:p>
      <w:pPr>
        <w:spacing w:after="120" w:before="0" w:line="300"/>
        <w:jc w:val="both"/>
      </w:pPr>
      <w:r>
        <w:rPr>
          <w:rFonts w:ascii="Times New Roman" w:cs="Times New Roman" w:eastAsia="Times New Roman" w:hAnsi="Times New Roman"/>
          <w:color w:val="2E2E2E"/>
          <w:sz w:val="22"/>
          <w:szCs w:val="22"/>
        </w:rPr>
        <w:t xml:space="preserve">Japan's 2011 World Cup victory remains the programme's defining achievement, won months after the Tohoku earthquake and carrying a significance at home that extended well beyond sport.</w:t>
      </w:r>
    </w:p>
    <w:p>
      <w:pPr>
        <w:spacing w:after="120" w:before="0" w:line="300"/>
        <w:jc w:val="both"/>
      </w:pPr>
      <w:r>
        <w:rPr>
          <w:rFonts w:ascii="Times New Roman" w:cs="Times New Roman" w:eastAsia="Times New Roman" w:hAnsi="Times New Roman"/>
          <w:color w:val="2E2E2E"/>
          <w:sz w:val="22"/>
          <w:szCs w:val="22"/>
        </w:rPr>
        <w:t xml:space="preserve">The squad that won it has since turned over entirely, and the programme's challenge has been sustaining competitiveness through generational change rather than relying on a single exceptional cohort.</w:t>
      </w:r>
    </w:p>
    <w:p>
      <w:pPr>
        <w:spacing w:after="120" w:before="0" w:line="300"/>
        <w:jc w:val="both"/>
      </w:pPr>
      <w:r>
        <w:rPr>
          <w:rFonts w:ascii="Times New Roman" w:cs="Times New Roman" w:eastAsia="Times New Roman" w:hAnsi="Times New Roman"/>
          <w:color w:val="2E2E2E"/>
          <w:sz w:val="22"/>
          <w:szCs w:val="22"/>
        </w:rPr>
        <w:t xml:space="preserve">The domestic professional women's league, established in recent years, provides a full-time environment that earlier generations of Japanese players did not have available domestically.</w:t>
      </w:r>
    </w:p>
    <w:p>
      <w:pPr>
        <w:spacing w:after="120" w:before="0" w:line="300"/>
        <w:jc w:val="both"/>
      </w:pPr>
      <w:r>
        <w:rPr>
          <w:rFonts w:ascii="Times New Roman" w:cs="Times New Roman" w:eastAsia="Times New Roman" w:hAnsi="Times New Roman"/>
          <w:color w:val="2E2E2E"/>
          <w:sz w:val="22"/>
          <w:szCs w:val="22"/>
        </w:rPr>
        <w:t xml:space="preserve">Asian competition has grown more demanding as programmes across the region have invested, with Australia's confederation switch and China's continued development both raising the standard.</w:t>
      </w:r>
    </w:p>
    <w:p>
      <w:pPr>
        <w:spacing w:after="120" w:before="0" w:line="300"/>
        <w:jc w:val="both"/>
      </w:pPr>
      <w:r>
        <w:rPr>
          <w:rFonts w:ascii="Times New Roman" w:cs="Times New Roman" w:eastAsia="Times New Roman" w:hAnsi="Times New Roman"/>
          <w:color w:val="2E2E2E"/>
          <w:sz w:val="22"/>
          <w:szCs w:val="22"/>
        </w:rPr>
        <w:t xml:space="preserve">Goal difference frequently separates teams level on points in group stages, which is what gives an eight-goal opening margin value beyond the three points it secured.</w:t>
      </w:r>
    </w:p>
    <w:p>
      <w:pPr>
        <w:spacing w:after="120" w:before="0" w:line="300"/>
        <w:jc w:val="both"/>
      </w:pPr>
      <w:r>
        <w:rPr>
          <w:rFonts w:ascii="Times New Roman" w:cs="Times New Roman" w:eastAsia="Times New Roman" w:hAnsi="Times New Roman"/>
          <w:color w:val="2E2E2E"/>
          <w:sz w:val="22"/>
          <w:szCs w:val="22"/>
        </w:rPr>
        <w:t xml:space="preserve">Japan's tactical identity has consistently emphasised technical passing over physical contest, an approach that has succeeded against larger opponents and occasionally struggled against organised defensive blocks.</w:t>
      </w:r>
    </w:p>
    <w:p>
      <w:pPr>
        <w:spacing w:after="120" w:before="0" w:line="300"/>
        <w:jc w:val="both"/>
      </w:pPr>
      <w:r>
        <w:rPr>
          <w:rFonts w:ascii="Times New Roman" w:cs="Times New Roman" w:eastAsia="Times New Roman" w:hAnsi="Times New Roman"/>
          <w:color w:val="2E2E2E"/>
          <w:sz w:val="22"/>
          <w:szCs w:val="22"/>
        </w:rPr>
        <w:t xml:space="preserve">Women's football in Asia has professionalised unevenly, with some nations fielding fully professional squads and others relying on players who combine the sport with other employment.</w:t>
      </w:r>
    </w:p>
    <w:p>
      <w:pPr>
        <w:spacing w:after="120" w:before="0" w:line="300"/>
        <w:jc w:val="both"/>
      </w:pPr>
      <w:r>
        <w:rPr>
          <w:rFonts w:ascii="Times New Roman" w:cs="Times New Roman" w:eastAsia="Times New Roman" w:hAnsi="Times New Roman"/>
          <w:color w:val="2E2E2E"/>
          <w:sz w:val="22"/>
          <w:szCs w:val="22"/>
        </w:rPr>
        <w:t xml:space="preserve">That gap explains scorelines of this magnitude at the group stage, which tend to narrow considerably once the knockout rounds bring the region's better-resourced programmes into contact.</w:t>
      </w:r>
    </w:p>
    <w:p>
      <w:pPr>
        <w:spacing w:after="120" w:before="0" w:line="300"/>
        <w:jc w:val="both"/>
      </w:pPr>
      <w:r>
        <w:rPr>
          <w:rFonts w:ascii="Times New Roman" w:cs="Times New Roman" w:eastAsia="Times New Roman" w:hAnsi="Times New Roman"/>
          <w:color w:val="2E2E2E"/>
          <w:sz w:val="22"/>
          <w:szCs w:val="22"/>
        </w:rPr>
        <w:t xml:space="preserve">Japan's squad will face progressively stiffer opposition as the tournament advances, with the competition's genuine test arriving in the closing rounds.</w:t>
      </w:r>
    </w:p>
    <w:p>
      <w:pPr>
        <w:spacing w:after="200" w:before="40"/>
        <w:jc w:val="right"/>
      </w:pPr>
      <w:r>
        <w:rPr>
          <w:rFonts w:ascii="Helvetica" w:cs="Helvetica" w:eastAsia="Helvetica" w:hAnsi="Helvetica"/>
          <w:i/>
          <w:iCs/>
          <w:color w:val="888888"/>
          <w:sz w:val="16"/>
          <w:szCs w:val="16"/>
        </w:rPr>
        <w:t xml:space="preserve">[454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Kitaguchi Sets Japanese Javelin Record at 68.92 Metres</w:t>
      </w:r>
    </w:p>
    <w:p>
      <w:pPr>
        <w:spacing w:after="40" w:before="40"/>
      </w:pPr>
      <w:r>
        <w:rPr>
          <w:rFonts w:ascii="Times New Roman" w:cs="Times New Roman" w:eastAsia="Times New Roman" w:hAnsi="Times New Roman"/>
          <w:i/>
          <w:iCs/>
          <w:color w:val="9B1B2A"/>
          <w:sz w:val="22"/>
          <w:szCs w:val="22"/>
        </w:rPr>
        <w:t xml:space="preserve">The mark is the first national record in the event in three years</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Haruka Kitaguchi set a new Japanese javelin throw record of 68.92 metres, the first time the national mark has fallen in three years, according to Yomiuri Shimbun.</w:t>
      </w:r>
    </w:p>
    <w:p>
      <w:pPr>
        <w:spacing w:after="120" w:before="0" w:line="300"/>
        <w:jc w:val="both"/>
      </w:pPr>
      <w:r>
        <w:rPr>
          <w:rFonts w:ascii="Times New Roman" w:cs="Times New Roman" w:eastAsia="Times New Roman" w:hAnsi="Times New Roman"/>
          <w:color w:val="2E2E2E"/>
          <w:sz w:val="22"/>
          <w:szCs w:val="22"/>
        </w:rPr>
        <w:t xml:space="preserve">A national record in a technical throwing event is a different kind of achievement from a strong competitive result. The javelin rewards a specific combination of speed, strength and technique in which small refinements produce measurable distance, and records tend to arrive when all three align on the same day.</w:t>
      </w:r>
    </w:p>
    <w:p>
      <w:pPr>
        <w:spacing w:after="120" w:before="0" w:line="300"/>
        <w:jc w:val="both"/>
      </w:pPr>
      <w:r>
        <w:rPr>
          <w:rFonts w:ascii="Times New Roman" w:cs="Times New Roman" w:eastAsia="Times New Roman" w:hAnsi="Times New Roman"/>
          <w:color w:val="2E2E2E"/>
          <w:sz w:val="22"/>
          <w:szCs w:val="22"/>
        </w:rPr>
        <w:t xml:space="preserve">Kitaguchi has been the defining figure in Japanese javelin for several years, a position that makes her the holder of the record she has just broken and places her in the unusual situation of competing primarily against her own previous marks.</w:t>
      </w:r>
    </w:p>
    <w:p>
      <w:pPr>
        <w:spacing w:after="120" w:before="0" w:line="300"/>
        <w:jc w:val="both"/>
      </w:pPr>
      <w:r>
        <w:rPr>
          <w:rFonts w:ascii="Times New Roman" w:cs="Times New Roman" w:eastAsia="Times New Roman" w:hAnsi="Times New Roman"/>
          <w:color w:val="2E2E2E"/>
          <w:sz w:val="22"/>
          <w:szCs w:val="22"/>
        </w:rPr>
        <w:t xml:space="preserve">Japanese athletics has traditionally drawn its international strength from distance running and race walking rather than the throws, which makes sustained excellence in an event like the javelin a genuine outlier in the national programme.</w:t>
      </w:r>
    </w:p>
    <w:p>
      <w:pPr>
        <w:spacing w:after="120" w:before="0" w:line="300"/>
        <w:jc w:val="both"/>
      </w:pPr>
      <w:r>
        <w:rPr>
          <w:rFonts w:ascii="Times New Roman" w:cs="Times New Roman" w:eastAsia="Times New Roman" w:hAnsi="Times New Roman"/>
          <w:color w:val="2E2E2E"/>
          <w:sz w:val="22"/>
          <w:szCs w:val="22"/>
        </w:rPr>
        <w:t xml:space="preserve">Setting the mark at a home Asian Games adds a dimension the distance alone does not capture, since athletes frequently describe home competition as producing performances that training data alone would not have predicted.</w:t>
      </w:r>
    </w:p>
    <w:p>
      <w:pPr>
        <w:spacing w:after="120" w:before="0" w:line="300"/>
        <w:jc w:val="both"/>
      </w:pPr>
      <w:r>
        <w:rPr>
          <w:rFonts w:ascii="Times New Roman" w:cs="Times New Roman" w:eastAsia="Times New Roman" w:hAnsi="Times New Roman"/>
          <w:color w:val="2E2E2E"/>
          <w:sz w:val="22"/>
          <w:szCs w:val="22"/>
        </w:rPr>
        <w:t xml:space="preserve">The record will stand as the benchmark for Japanese javelin throwers heading toward the Los Angeles Olympic cycle, where the distances required to contend for medals remain some way beyond it.</w:t>
      </w:r>
    </w:p>
    <w:p>
      <w:pPr>
        <w:spacing w:after="120" w:before="0" w:line="300"/>
        <w:jc w:val="both"/>
      </w:pPr>
      <w:r>
        <w:rPr>
          <w:rFonts w:ascii="Times New Roman" w:cs="Times New Roman" w:eastAsia="Times New Roman" w:hAnsi="Times New Roman"/>
          <w:color w:val="2E2E2E"/>
          <w:sz w:val="22"/>
          <w:szCs w:val="22"/>
        </w:rPr>
        <w:t xml:space="preserve">The javelin rewards a combination of approach speed, block mechanics and release angle, with small technical changes producing distance gains that pure strength training does not deliver.</w:t>
      </w:r>
    </w:p>
    <w:p>
      <w:pPr>
        <w:spacing w:after="120" w:before="0" w:line="300"/>
        <w:jc w:val="both"/>
      </w:pPr>
      <w:r>
        <w:rPr>
          <w:rFonts w:ascii="Times New Roman" w:cs="Times New Roman" w:eastAsia="Times New Roman" w:hAnsi="Times New Roman"/>
          <w:color w:val="2E2E2E"/>
          <w:sz w:val="22"/>
          <w:szCs w:val="22"/>
        </w:rPr>
        <w:t xml:space="preserve">Japanese athletics has drawn its international strength predominantly from distance running, race walking and relay sprinting, making sustained excellence in a throwing event genuinely unusual.</w:t>
      </w:r>
    </w:p>
    <w:p>
      <w:pPr>
        <w:spacing w:after="120" w:before="0" w:line="300"/>
        <w:jc w:val="both"/>
      </w:pPr>
      <w:r>
        <w:rPr>
          <w:rFonts w:ascii="Times New Roman" w:cs="Times New Roman" w:eastAsia="Times New Roman" w:hAnsi="Times New Roman"/>
          <w:color w:val="2E2E2E"/>
          <w:sz w:val="22"/>
          <w:szCs w:val="22"/>
        </w:rPr>
        <w:t xml:space="preserve">National records in the throws tend to stand for long periods, since the depth of competition at national level is thinner than in events with larger participation.</w:t>
      </w:r>
    </w:p>
    <w:p>
      <w:pPr>
        <w:spacing w:after="120" w:before="0" w:line="300"/>
        <w:jc w:val="both"/>
      </w:pPr>
      <w:r>
        <w:rPr>
          <w:rFonts w:ascii="Times New Roman" w:cs="Times New Roman" w:eastAsia="Times New Roman" w:hAnsi="Times New Roman"/>
          <w:color w:val="2E2E2E"/>
          <w:sz w:val="22"/>
          <w:szCs w:val="22"/>
        </w:rPr>
        <w:t xml:space="preserve">Weather affects javelin distances more than most events, with headwind and tailwind conditions altering flight substantially, which is why marks are read alongside the conditions that produced them.</w:t>
      </w:r>
    </w:p>
    <w:p>
      <w:pPr>
        <w:spacing w:after="120" w:before="0" w:line="300"/>
        <w:jc w:val="both"/>
      </w:pPr>
      <w:r>
        <w:rPr>
          <w:rFonts w:ascii="Times New Roman" w:cs="Times New Roman" w:eastAsia="Times New Roman" w:hAnsi="Times New Roman"/>
          <w:color w:val="2E2E2E"/>
          <w:sz w:val="22"/>
          <w:szCs w:val="22"/>
        </w:rPr>
        <w:t xml:space="preserve">The distances required to contend for medals at Olympic level in this event sit above the new national mark, which frames the record as a step rather than an arrival.</w:t>
      </w:r>
    </w:p>
    <w:p>
      <w:pPr>
        <w:spacing w:after="120" w:before="0" w:line="300"/>
        <w:jc w:val="both"/>
      </w:pPr>
      <w:r>
        <w:rPr>
          <w:rFonts w:ascii="Times New Roman" w:cs="Times New Roman" w:eastAsia="Times New Roman" w:hAnsi="Times New Roman"/>
          <w:color w:val="2E2E2E"/>
          <w:sz w:val="22"/>
          <w:szCs w:val="22"/>
        </w:rPr>
        <w:t xml:space="preserve">Competing at a home Games removes the travel and acclimatisation variables that international competition normally introduces, a factor athletes routinely cite in explaining home performances.</w:t>
      </w:r>
    </w:p>
    <w:p>
      <w:pPr>
        <w:spacing w:after="200" w:before="40"/>
        <w:jc w:val="right"/>
      </w:pPr>
      <w:r>
        <w:rPr>
          <w:rFonts w:ascii="Helvetica" w:cs="Helvetica" w:eastAsia="Helvetica" w:hAnsi="Helvetica"/>
          <w:i/>
          <w:iCs/>
          <w:color w:val="888888"/>
          <w:sz w:val="16"/>
          <w:szCs w:val="16"/>
        </w:rPr>
        <w:t xml:space="preserve">[380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Ohtani to Resume Batting Tuesday as Sasaki Eyes a Return Against the Reds</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Shohei Ohtani will resume batting from the 15th local time, with manager Dave Roberts describing the step as tee batting, according to Sponichi. Roki Sasaki may return for the game against the Cincinnati Reds on the 18th.</w:t>
      </w:r>
    </w:p>
    <w:p>
      <w:pPr>
        <w:spacing w:after="120" w:before="0" w:line="300"/>
        <w:jc w:val="both"/>
      </w:pPr>
      <w:r>
        <w:rPr>
          <w:rFonts w:ascii="Times New Roman" w:cs="Times New Roman" w:eastAsia="Times New Roman" w:hAnsi="Times New Roman"/>
          <w:color w:val="2E2E2E"/>
          <w:sz w:val="22"/>
          <w:szCs w:val="22"/>
        </w:rPr>
        <w:t xml:space="preserve">Tee batting is the first rung on a hitter's return ladder, striking a stationary ball with no pitch recognition or timing demand, and it establishes whether the swing can be executed without aggravating whatever kept the player out.</w:t>
      </w:r>
    </w:p>
    <w:p>
      <w:pPr>
        <w:spacing w:after="120" w:before="0" w:line="300"/>
        <w:jc w:val="both"/>
      </w:pPr>
      <w:r>
        <w:rPr>
          <w:rFonts w:ascii="Times New Roman" w:cs="Times New Roman" w:eastAsia="Times New Roman" w:hAnsi="Times New Roman"/>
          <w:color w:val="2E2E2E"/>
          <w:sz w:val="22"/>
          <w:szCs w:val="22"/>
        </w:rPr>
        <w:t xml:space="preserve">The progression from there is standardised: soft toss, then batting practice against live pitching, then simulated game situations, with each stage contingent on the previous one producing no setback.</w:t>
      </w:r>
    </w:p>
    <w:p>
      <w:pPr>
        <w:spacing w:after="120" w:before="0" w:line="300"/>
        <w:jc w:val="both"/>
      </w:pPr>
      <w:r>
        <w:rPr>
          <w:rFonts w:ascii="Times New Roman" w:cs="Times New Roman" w:eastAsia="Times New Roman" w:hAnsi="Times New Roman"/>
          <w:color w:val="2E2E2E"/>
          <w:sz w:val="22"/>
          <w:szCs w:val="22"/>
        </w:rPr>
        <w:t xml:space="preserve">For the Dodgers, the timing matters because the postseason is close enough that a return has to be judged against readiness rather than simply availability, and a hitter rushed back without timing is of limited use in October.</w:t>
      </w:r>
    </w:p>
    <w:p>
      <w:pPr>
        <w:spacing w:after="120" w:before="0" w:line="300"/>
        <w:jc w:val="both"/>
      </w:pPr>
      <w:r>
        <w:rPr>
          <w:rFonts w:ascii="Times New Roman" w:cs="Times New Roman" w:eastAsia="Times New Roman" w:hAnsi="Times New Roman"/>
          <w:color w:val="2E2E2E"/>
          <w:sz w:val="22"/>
          <w:szCs w:val="22"/>
        </w:rPr>
        <w:t xml:space="preserve">Sasaki's potential return on the 18th would restore another arm to a staff that has managed sustained attrition this season, and the Reds fixture gives a defined target for the rehabilitation schedule.</w:t>
      </w:r>
    </w:p>
    <w:p>
      <w:pPr>
        <w:spacing w:after="120" w:before="0" w:line="300"/>
        <w:jc w:val="both"/>
      </w:pPr>
      <w:r>
        <w:rPr>
          <w:rFonts w:ascii="Times New Roman" w:cs="Times New Roman" w:eastAsia="Times New Roman" w:hAnsi="Times New Roman"/>
          <w:color w:val="2E2E2E"/>
          <w:sz w:val="22"/>
          <w:szCs w:val="22"/>
        </w:rPr>
        <w:t xml:space="preserve">Both timelines remain conditional on how each player responds, which is the standard caveat attached to any rehabilitation schedule announced before the athlete has completed it.</w:t>
      </w:r>
    </w:p>
    <w:p>
      <w:pPr>
        <w:spacing w:after="120" w:before="0" w:line="300"/>
        <w:jc w:val="both"/>
      </w:pPr>
      <w:r>
        <w:rPr>
          <w:rFonts w:ascii="Times New Roman" w:cs="Times New Roman" w:eastAsia="Times New Roman" w:hAnsi="Times New Roman"/>
          <w:color w:val="2E2E2E"/>
          <w:sz w:val="22"/>
          <w:szCs w:val="22"/>
        </w:rPr>
        <w:t xml:space="preserve">Rehabilitation from upper-body injuries in baseball follows a graduated protocol because the swing loads the trunk and shoulders in a sequence that cannot be partially tested.</w:t>
      </w:r>
    </w:p>
    <w:p>
      <w:pPr>
        <w:spacing w:after="120" w:before="0" w:line="300"/>
        <w:jc w:val="both"/>
      </w:pPr>
      <w:r>
        <w:rPr>
          <w:rFonts w:ascii="Times New Roman" w:cs="Times New Roman" w:eastAsia="Times New Roman" w:hAnsi="Times New Roman"/>
          <w:color w:val="2E2E2E"/>
          <w:sz w:val="22"/>
          <w:szCs w:val="22"/>
        </w:rPr>
        <w:t xml:space="preserve">Tee work isolates the swing mechanics from pitch recognition and timing, which allows a hitter to establish whether the movement itself is available before adding the reactive elements.</w:t>
      </w:r>
    </w:p>
    <w:p>
      <w:pPr>
        <w:spacing w:after="120" w:before="0" w:line="300"/>
        <w:jc w:val="both"/>
      </w:pPr>
      <w:r>
        <w:rPr>
          <w:rFonts w:ascii="Times New Roman" w:cs="Times New Roman" w:eastAsia="Times New Roman" w:hAnsi="Times New Roman"/>
          <w:color w:val="2E2E2E"/>
          <w:sz w:val="22"/>
          <w:szCs w:val="22"/>
        </w:rPr>
        <w:t xml:space="preserve">Live batting practice is the meaningful checkpoint that follows, since tracking a pitched ball introduces the timing adjustments and late corrections that a stationary ball does not demand.</w:t>
      </w:r>
    </w:p>
    <w:p>
      <w:pPr>
        <w:spacing w:after="120" w:before="0" w:line="300"/>
        <w:jc w:val="both"/>
      </w:pPr>
      <w:r>
        <w:rPr>
          <w:rFonts w:ascii="Times New Roman" w:cs="Times New Roman" w:eastAsia="Times New Roman" w:hAnsi="Times New Roman"/>
          <w:color w:val="2E2E2E"/>
          <w:sz w:val="22"/>
          <w:szCs w:val="22"/>
        </w:rPr>
        <w:t xml:space="preserve">For a club heading into the postseason, the calculation involves readiness rather than availability, since a hitter returning without timing contributes little in the compressed environment of October baseball.</w:t>
      </w:r>
    </w:p>
    <w:p>
      <w:pPr>
        <w:spacing w:after="120" w:before="0" w:line="300"/>
        <w:jc w:val="both"/>
      </w:pPr>
      <w:r>
        <w:rPr>
          <w:rFonts w:ascii="Times New Roman" w:cs="Times New Roman" w:eastAsia="Times New Roman" w:hAnsi="Times New Roman"/>
          <w:color w:val="2E2E2E"/>
          <w:sz w:val="22"/>
          <w:szCs w:val="22"/>
        </w:rPr>
        <w:t xml:space="preserve">Sasaki's potential return against Cincinnati would restore a further arm to a rotation that has absorbed attrition through the season.</w:t>
      </w:r>
    </w:p>
    <w:p>
      <w:pPr>
        <w:spacing w:after="120" w:before="0" w:line="300"/>
        <w:jc w:val="both"/>
      </w:pPr>
      <w:r>
        <w:rPr>
          <w:rFonts w:ascii="Times New Roman" w:cs="Times New Roman" w:eastAsia="Times New Roman" w:hAnsi="Times New Roman"/>
          <w:color w:val="2E2E2E"/>
          <w:sz w:val="22"/>
          <w:szCs w:val="22"/>
        </w:rPr>
        <w:t xml:space="preserve">Both timelines remain contingent on how each player responds, the standard qualification attached to any rehabilitation schedule announced before its completion.</w:t>
      </w:r>
    </w:p>
    <w:p>
      <w:pPr>
        <w:spacing w:after="200" w:before="40"/>
        <w:jc w:val="right"/>
      </w:pPr>
      <w:r>
        <w:rPr>
          <w:rFonts w:ascii="Helvetica" w:cs="Helvetica" w:eastAsia="Helvetica" w:hAnsi="Helvetica"/>
          <w:i/>
          <w:iCs/>
          <w:color w:val="888888"/>
          <w:sz w:val="16"/>
          <w:szCs w:val="16"/>
        </w:rPr>
        <w:t xml:space="preserve">[352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Yokozuna and Ozeki All Unbeaten as Aki Basho Continues</w:t>
      </w:r>
    </w:p>
    <w:p>
      <w:pPr>
        <w:spacing w:after="40" w:before="40"/>
      </w:pPr>
      <w:r>
        <w:rPr>
          <w:rFonts w:ascii="Times New Roman" w:cs="Times New Roman" w:eastAsia="Times New Roman" w:hAnsi="Times New Roman"/>
          <w:i/>
          <w:iCs/>
          <w:color w:val="9B1B2A"/>
          <w:sz w:val="22"/>
          <w:szCs w:val="22"/>
        </w:rPr>
        <w:t xml:space="preserve">Aonishiki's form since regaining sumo's second-highest rank is drawing particular attention</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The yokozuna and ozeki have all continued winning since the opening day of the Autumn Grand Sumo Tournament, according to Yomiuri Shimbun and NHK, leaving the top of the banzuke without a blemish in the tournament's early stage.</w:t>
      </w:r>
    </w:p>
    <w:p>
      <w:pPr>
        <w:spacing w:after="120" w:before="0" w:line="300"/>
        <w:jc w:val="both"/>
      </w:pPr>
      <w:r>
        <w:rPr>
          <w:rFonts w:ascii="Times New Roman" w:cs="Times New Roman" w:eastAsia="Times New Roman" w:hAnsi="Times New Roman"/>
          <w:color w:val="2E2E2E"/>
          <w:sz w:val="22"/>
          <w:szCs w:val="22"/>
        </w:rPr>
        <w:t xml:space="preserve">Aonishiki's performance since returning to ozeki is drawing particular attention. The Ukrainian-born wrestler regained the rank on the banzuke published at the end of August, after a 12-3 finish at sekiwake in July triggered the automatic restoration that sumo's rules grant a recently demoted ozeki.</w:t>
      </w:r>
    </w:p>
    <w:p>
      <w:pPr>
        <w:spacing w:after="120" w:before="0" w:line="300"/>
        <w:jc w:val="both"/>
      </w:pPr>
      <w:r>
        <w:rPr>
          <w:rFonts w:ascii="Times New Roman" w:cs="Times New Roman" w:eastAsia="Times New Roman" w:hAnsi="Times New Roman"/>
          <w:color w:val="2E2E2E"/>
          <w:sz w:val="22"/>
          <w:szCs w:val="22"/>
        </w:rPr>
        <w:t xml:space="preserve">An unblemished top of the banzuke in the first week is less predictive than it appears, since the scheduling convention keeps the highest-ranked wrestlers apart until the second week, meaning their early opponents are by design not their most dangerous ones.</w:t>
      </w:r>
    </w:p>
    <w:p>
      <w:pPr>
        <w:spacing w:after="120" w:before="0" w:line="300"/>
        <w:jc w:val="both"/>
      </w:pPr>
      <w:r>
        <w:rPr>
          <w:rFonts w:ascii="Times New Roman" w:cs="Times New Roman" w:eastAsia="Times New Roman" w:hAnsi="Times New Roman"/>
          <w:color w:val="2E2E2E"/>
          <w:sz w:val="22"/>
          <w:szCs w:val="22"/>
        </w:rPr>
        <w:t xml:space="preserve">What it does establish is that no one at the top has stumbled against the lower-ranked opposition that a championship contender is expected to handle, which is the minimum requirement rather than evidence of anything more.</w:t>
      </w:r>
    </w:p>
    <w:p>
      <w:pPr>
        <w:spacing w:after="120" w:before="0" w:line="300"/>
        <w:jc w:val="both"/>
      </w:pPr>
      <w:r>
        <w:rPr>
          <w:rFonts w:ascii="Times New Roman" w:cs="Times New Roman" w:eastAsia="Times New Roman" w:hAnsi="Times New Roman"/>
          <w:color w:val="2E2E2E"/>
          <w:sz w:val="22"/>
          <w:szCs w:val="22"/>
        </w:rPr>
        <w:t xml:space="preserve">The two yokozuna, Onosato and Mongolian-born Hoshoryu, head the field alongside the ozeki ranks, and the matchups between them in the closing days will settle the Emperor's Cup.</w:t>
      </w:r>
    </w:p>
    <w:p>
      <w:pPr>
        <w:spacing w:after="120" w:before="0" w:line="300"/>
        <w:jc w:val="both"/>
      </w:pPr>
      <w:r>
        <w:rPr>
          <w:rFonts w:ascii="Times New Roman" w:cs="Times New Roman" w:eastAsia="Times New Roman" w:hAnsi="Times New Roman"/>
          <w:color w:val="2E2E2E"/>
          <w:sz w:val="22"/>
          <w:szCs w:val="22"/>
        </w:rPr>
        <w:t xml:space="preserve">Aonishiki reached ozeki in just fourteen tournaments after his professional debut in September 2023, the fastest promotion to the rank since the modern six-tournament calendar was introduced in 1958.</w:t>
      </w:r>
    </w:p>
    <w:p>
      <w:pPr>
        <w:spacing w:after="120" w:before="0" w:line="300"/>
        <w:jc w:val="both"/>
      </w:pPr>
      <w:r>
        <w:rPr>
          <w:rFonts w:ascii="Times New Roman" w:cs="Times New Roman" w:eastAsia="Times New Roman" w:hAnsi="Times New Roman"/>
          <w:color w:val="2E2E2E"/>
          <w:sz w:val="22"/>
          <w:szCs w:val="22"/>
        </w:rPr>
        <w:t xml:space="preserve">The tournament runs through the 27th at Ryogoku Kokugikan, with the second week's scheduling bringing the contenders into direct contact.</w:t>
      </w:r>
    </w:p>
    <w:p>
      <w:pPr>
        <w:spacing w:after="120" w:before="0" w:line="300"/>
        <w:jc w:val="both"/>
      </w:pPr>
      <w:r>
        <w:rPr>
          <w:rFonts w:ascii="Times New Roman" w:cs="Times New Roman" w:eastAsia="Times New Roman" w:hAnsi="Times New Roman"/>
          <w:color w:val="2E2E2E"/>
          <w:sz w:val="22"/>
          <w:szCs w:val="22"/>
        </w:rPr>
        <w:t xml:space="preserve">Sumo's ranking system places wrestlers on a banzuke reissued before each tournament, with promotion and demotion determined by the previous tournament's record.</w:t>
      </w:r>
    </w:p>
    <w:p>
      <w:pPr>
        <w:spacing w:after="120" w:before="0" w:line="300"/>
        <w:jc w:val="both"/>
      </w:pPr>
      <w:r>
        <w:rPr>
          <w:rFonts w:ascii="Times New Roman" w:cs="Times New Roman" w:eastAsia="Times New Roman" w:hAnsi="Times New Roman"/>
          <w:color w:val="2E2E2E"/>
          <w:sz w:val="22"/>
          <w:szCs w:val="22"/>
        </w:rPr>
        <w:t xml:space="preserve">The ozeki rank carries a specific protection: a wrestler demoted after a losing record regains the rank immediately by winning ten or more bouts in the following tournament, which is the provision Aonishiki used.</w:t>
      </w:r>
    </w:p>
    <w:p>
      <w:pPr>
        <w:spacing w:after="120" w:before="0" w:line="300"/>
        <w:jc w:val="both"/>
      </w:pPr>
      <w:r>
        <w:rPr>
          <w:rFonts w:ascii="Times New Roman" w:cs="Times New Roman" w:eastAsia="Times New Roman" w:hAnsi="Times New Roman"/>
          <w:color w:val="2E2E2E"/>
          <w:sz w:val="22"/>
          <w:szCs w:val="22"/>
        </w:rPr>
        <w:t xml:space="preserve">Yokozuna carry no equivalent protection because they cannot be demoted, which converts sustained poor performance into pressure to retire rather than into a lower rank.</w:t>
      </w:r>
    </w:p>
    <w:p>
      <w:pPr>
        <w:spacing w:after="120" w:before="0" w:line="300"/>
        <w:jc w:val="both"/>
      </w:pPr>
      <w:r>
        <w:rPr>
          <w:rFonts w:ascii="Times New Roman" w:cs="Times New Roman" w:eastAsia="Times New Roman" w:hAnsi="Times New Roman"/>
          <w:color w:val="2E2E2E"/>
          <w:sz w:val="22"/>
          <w:szCs w:val="22"/>
        </w:rPr>
        <w:t xml:space="preserve">The scheduling convention that keeps top-ranked wrestlers apart until the second week means early unbeaten records among them establish competence rather than superiority.</w:t>
      </w:r>
    </w:p>
    <w:p>
      <w:pPr>
        <w:spacing w:after="120" w:before="0" w:line="300"/>
        <w:jc w:val="both"/>
      </w:pPr>
      <w:r>
        <w:rPr>
          <w:rFonts w:ascii="Times New Roman" w:cs="Times New Roman" w:eastAsia="Times New Roman" w:hAnsi="Times New Roman"/>
          <w:color w:val="2E2E2E"/>
          <w:sz w:val="22"/>
          <w:szCs w:val="22"/>
        </w:rPr>
        <w:t xml:space="preserve">Aonishiki's three top-division championships include the Fukuoka tournament in November 2025, won on a playoff victory over Hoshoryu, which began the sequence leading to his rapid promotion.</w:t>
      </w:r>
    </w:p>
    <w:p>
      <w:pPr>
        <w:spacing w:after="120" w:before="0" w:line="300"/>
        <w:jc w:val="both"/>
      </w:pPr>
      <w:r>
        <w:rPr>
          <w:rFonts w:ascii="Times New Roman" w:cs="Times New Roman" w:eastAsia="Times New Roman" w:hAnsi="Times New Roman"/>
          <w:color w:val="2E2E2E"/>
          <w:sz w:val="22"/>
          <w:szCs w:val="22"/>
        </w:rPr>
        <w:t xml:space="preserve">The tournament runs fifteen days, with the closing weekend producing the matchups that determine the Emperor's Cup.</w:t>
      </w:r>
    </w:p>
    <w:p>
      <w:pPr>
        <w:spacing w:after="120" w:before="0" w:line="300"/>
        <w:jc w:val="both"/>
      </w:pPr>
      <w:r>
        <w:rPr>
          <w:rFonts w:ascii="Times New Roman" w:cs="Times New Roman" w:eastAsia="Times New Roman" w:hAnsi="Times New Roman"/>
          <w:color w:val="2E2E2E"/>
          <w:sz w:val="22"/>
          <w:szCs w:val="22"/>
        </w:rPr>
        <w:t xml:space="preserve">A fifteen-day tournament rewards consistency over brilliance, since a single loss can be absorbed while a run of them cannot, which is why wrestlers speak of the second week as the tournament proper.</w:t>
      </w:r>
    </w:p>
    <w:p>
      <w:pPr>
        <w:spacing w:after="120" w:before="0" w:line="300"/>
        <w:jc w:val="both"/>
      </w:pPr>
      <w:r>
        <w:rPr>
          <w:rFonts w:ascii="Times New Roman" w:cs="Times New Roman" w:eastAsia="Times New Roman" w:hAnsi="Times New Roman"/>
          <w:color w:val="2E2E2E"/>
          <w:sz w:val="22"/>
          <w:szCs w:val="22"/>
        </w:rPr>
        <w:t xml:space="preserve">The banzuke for the following tournament is published weeks after each basho, and promotion decisions rest with the Japan Sumo Association's judging department rather than on any automatic formula except at ozeki.</w:t>
      </w:r>
    </w:p>
    <w:p>
      <w:pPr>
        <w:spacing w:after="120" w:before="0" w:line="300"/>
        <w:jc w:val="both"/>
      </w:pPr>
      <w:r>
        <w:rPr>
          <w:rFonts w:ascii="Times New Roman" w:cs="Times New Roman" w:eastAsia="Times New Roman" w:hAnsi="Times New Roman"/>
          <w:color w:val="2E2E2E"/>
          <w:sz w:val="22"/>
          <w:szCs w:val="22"/>
        </w:rPr>
        <w:t xml:space="preserve">Attendance at Ryogoku has been strong through the sport's current period of popularity, with tickets for major tournaments frequently selling out well in advance.</w:t>
      </w:r>
    </w:p>
    <w:p>
      <w:pPr>
        <w:spacing w:after="200" w:before="40"/>
        <w:jc w:val="right"/>
      </w:pPr>
      <w:r>
        <w:rPr>
          <w:rFonts w:ascii="Helvetica" w:cs="Helvetica" w:eastAsia="Helvetica" w:hAnsi="Helvetica"/>
          <w:i/>
          <w:iCs/>
          <w:color w:val="888888"/>
          <w:sz w:val="16"/>
          <w:szCs w:val="16"/>
        </w:rPr>
        <w:t xml:space="preserve">[474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 Fall 2-0 to South Korea in U18 Asian Championship Final</w:t>
      </w:r>
    </w:p>
    <w:p>
      <w:pPr>
        <w:spacing w:after="40" w:before="40"/>
      </w:pPr>
      <w:r>
        <w:rPr>
          <w:rFonts w:ascii="Times New Roman" w:cs="Times New Roman" w:eastAsia="Times New Roman" w:hAnsi="Times New Roman"/>
          <w:i/>
          <w:iCs/>
          <w:color w:val="9B1B2A"/>
          <w:sz w:val="22"/>
          <w:szCs w:val="22"/>
        </w:rPr>
        <w:t xml:space="preserve">Ha Hyun-seung, nicknamed "Busan's Ohtani," held Japan to a single hit</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Japan lost 2-0 to South Korea in the U18 Asian Championship final, finishing as runners-up after being shut out on a single hit by Ha Hyun-seung, a pitcher nicknamed Busan's Ohtani, according to Nikkan Sports.</w:t>
      </w:r>
    </w:p>
    <w:p>
      <w:pPr>
        <w:spacing w:after="120" w:before="0" w:line="300"/>
        <w:jc w:val="both"/>
      </w:pPr>
      <w:r>
        <w:rPr>
          <w:rFonts w:ascii="Times New Roman" w:cs="Times New Roman" w:eastAsia="Times New Roman" w:hAnsi="Times New Roman"/>
          <w:color w:val="2E2E2E"/>
          <w:sz w:val="22"/>
          <w:szCs w:val="22"/>
        </w:rPr>
        <w:t xml:space="preserve">A one-hit shutout in a continental final is a performance that follows a pitcher for the rest of his career, and the nickname attached to Ha will now be repeated in every scouting conversation about him.</w:t>
      </w:r>
    </w:p>
    <w:p>
      <w:pPr>
        <w:spacing w:after="120" w:before="0" w:line="300"/>
        <w:jc w:val="both"/>
      </w:pPr>
      <w:r>
        <w:rPr>
          <w:rFonts w:ascii="Times New Roman" w:cs="Times New Roman" w:eastAsia="Times New Roman" w:hAnsi="Times New Roman"/>
          <w:color w:val="2E2E2E"/>
          <w:sz w:val="22"/>
          <w:szCs w:val="22"/>
        </w:rPr>
        <w:t xml:space="preserve">Japan's high school baseball system is among the most developed talent pipelines in world sport, which makes being held to a single hit by a contemporary from another country a genuinely unusual outcome at this level.</w:t>
      </w:r>
    </w:p>
    <w:p>
      <w:pPr>
        <w:spacing w:after="120" w:before="0" w:line="300"/>
        <w:jc w:val="both"/>
      </w:pPr>
      <w:r>
        <w:rPr>
          <w:rFonts w:ascii="Times New Roman" w:cs="Times New Roman" w:eastAsia="Times New Roman" w:hAnsi="Times New Roman"/>
          <w:color w:val="2E2E2E"/>
          <w:sz w:val="22"/>
          <w:szCs w:val="22"/>
        </w:rPr>
        <w:t xml:space="preserve">South Korea's own youth development has produced a steady stream of players who have moved on to the KBO, NPB and Major League Baseball, and this final will be cited as evidence in the recurring argument about the relative merits of the two systems.</w:t>
      </w:r>
    </w:p>
    <w:p>
      <w:pPr>
        <w:spacing w:after="120" w:before="0" w:line="300"/>
        <w:jc w:val="both"/>
      </w:pPr>
      <w:r>
        <w:rPr>
          <w:rFonts w:ascii="Times New Roman" w:cs="Times New Roman" w:eastAsia="Times New Roman" w:hAnsi="Times New Roman"/>
          <w:color w:val="2E2E2E"/>
          <w:sz w:val="22"/>
          <w:szCs w:val="22"/>
        </w:rPr>
        <w:t xml:space="preserve">For the Japanese squad, a runners-up finish in a tournament they would have expected to win is the kind of result that tends to sharpen rather than discourage the players who experienced it.</w:t>
      </w:r>
    </w:p>
    <w:p>
      <w:pPr>
        <w:spacing w:after="120" w:before="0" w:line="300"/>
        <w:jc w:val="both"/>
      </w:pPr>
      <w:r>
        <w:rPr>
          <w:rFonts w:ascii="Times New Roman" w:cs="Times New Roman" w:eastAsia="Times New Roman" w:hAnsi="Times New Roman"/>
          <w:color w:val="2E2E2E"/>
          <w:sz w:val="22"/>
          <w:szCs w:val="22"/>
        </w:rPr>
        <w:t xml:space="preserve">Professional scouts from several leagues follow this competition closely, and a performance of this kind guarantees Ha considerable attention regardless of the route he ultimately takes.</w:t>
      </w:r>
    </w:p>
    <w:p>
      <w:pPr>
        <w:spacing w:after="120" w:before="0" w:line="300"/>
        <w:jc w:val="both"/>
      </w:pPr>
      <w:r>
        <w:rPr>
          <w:rFonts w:ascii="Times New Roman" w:cs="Times New Roman" w:eastAsia="Times New Roman" w:hAnsi="Times New Roman"/>
          <w:color w:val="2E2E2E"/>
          <w:sz w:val="22"/>
          <w:szCs w:val="22"/>
        </w:rPr>
        <w:t xml:space="preserve">Japanese high school baseball operates at a scale unusual in world sport, with thousands of schools competing through prefectural tournaments toward the national championship at Koshien.</w:t>
      </w:r>
    </w:p>
    <w:p>
      <w:pPr>
        <w:spacing w:after="120" w:before="0" w:line="300"/>
        <w:jc w:val="both"/>
      </w:pPr>
      <w:r>
        <w:rPr>
          <w:rFonts w:ascii="Times New Roman" w:cs="Times New Roman" w:eastAsia="Times New Roman" w:hAnsi="Times New Roman"/>
          <w:color w:val="2E2E2E"/>
          <w:sz w:val="22"/>
          <w:szCs w:val="22"/>
        </w:rPr>
        <w:t xml:space="preserve">That system produces enormous depth and intense competition, which is why a one-hit shutout against a Japanese national selection registers as a notable result rather than an ordinary one.</w:t>
      </w:r>
    </w:p>
    <w:p>
      <w:pPr>
        <w:spacing w:after="120" w:before="0" w:line="300"/>
        <w:jc w:val="both"/>
      </w:pPr>
      <w:r>
        <w:rPr>
          <w:rFonts w:ascii="Times New Roman" w:cs="Times New Roman" w:eastAsia="Times New Roman" w:hAnsi="Times New Roman"/>
          <w:color w:val="2E2E2E"/>
          <w:sz w:val="22"/>
          <w:szCs w:val="22"/>
        </w:rPr>
        <w:t xml:space="preserve">South Korea's development pathway runs through a smaller number of baseball-specialised schools, a more concentrated model that produces fewer players at a higher average level of specialised training.</w:t>
      </w:r>
    </w:p>
    <w:p>
      <w:pPr>
        <w:spacing w:after="120" w:before="0" w:line="300"/>
        <w:jc w:val="both"/>
      </w:pPr>
      <w:r>
        <w:rPr>
          <w:rFonts w:ascii="Times New Roman" w:cs="Times New Roman" w:eastAsia="Times New Roman" w:hAnsi="Times New Roman"/>
          <w:color w:val="2E2E2E"/>
          <w:sz w:val="22"/>
          <w:szCs w:val="22"/>
        </w:rPr>
        <w:t xml:space="preserve">Comparisons between the two systems recur whenever results run against expectation, generally centring on whether Japan's volume or Korea's concentration produces better elite outcomes.</w:t>
      </w:r>
    </w:p>
    <w:p>
      <w:pPr>
        <w:spacing w:after="120" w:before="0" w:line="300"/>
        <w:jc w:val="both"/>
      </w:pPr>
      <w:r>
        <w:rPr>
          <w:rFonts w:ascii="Times New Roman" w:cs="Times New Roman" w:eastAsia="Times New Roman" w:hAnsi="Times New Roman"/>
          <w:color w:val="2E2E2E"/>
          <w:sz w:val="22"/>
          <w:szCs w:val="22"/>
        </w:rPr>
        <w:t xml:space="preserve">Professional scouts from the KBO, NPB and Major League Baseball follow the competition, and performances of this kind shape draft and signing interest well beyond the tournament.</w:t>
      </w:r>
    </w:p>
    <w:p>
      <w:pPr>
        <w:spacing w:after="120" w:before="0" w:line="300"/>
        <w:jc w:val="both"/>
      </w:pPr>
      <w:r>
        <w:rPr>
          <w:rFonts w:ascii="Times New Roman" w:cs="Times New Roman" w:eastAsia="Times New Roman" w:hAnsi="Times New Roman"/>
          <w:color w:val="2E2E2E"/>
          <w:sz w:val="22"/>
          <w:szCs w:val="22"/>
        </w:rPr>
        <w:t xml:space="preserve">A runners-up finish nonetheless represents a strong tournament for the Japanese squad, which reached the final through the earlier rounds.</w:t>
      </w:r>
    </w:p>
    <w:p>
      <w:pPr>
        <w:spacing w:after="200" w:before="40"/>
        <w:jc w:val="right"/>
      </w:pPr>
      <w:r>
        <w:rPr>
          <w:rFonts w:ascii="Helvetica" w:cs="Helvetica" w:eastAsia="Helvetica" w:hAnsi="Helvetica"/>
          <w:i/>
          <w:iCs/>
          <w:color w:val="888888"/>
          <w:sz w:val="16"/>
          <w:szCs w:val="16"/>
        </w:rPr>
        <w:t xml:space="preserve">[364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DeNA Walk Off to Reach .500 as Giants Fall Late</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Yokohama DeNA won with a walk-off victory around the 14th, returning the club to a .500 winning percentage, while the Yomiuri Giants suffered a walk-off loss, according to Sponichi and Yomiuri Shimbun.</w:t>
      </w:r>
    </w:p>
    <w:p>
      <w:pPr>
        <w:spacing w:after="120" w:before="0" w:line="300"/>
        <w:jc w:val="both"/>
      </w:pPr>
      <w:r>
        <w:rPr>
          <w:rFonts w:ascii="Times New Roman" w:cs="Times New Roman" w:eastAsia="Times New Roman" w:hAnsi="Times New Roman"/>
          <w:color w:val="2E2E2E"/>
          <w:sz w:val="22"/>
          <w:szCs w:val="22"/>
        </w:rPr>
        <w:t xml:space="preserve">Returning to .500 this late in a season is a modest milestone with real meaning for a club's postseason arithmetic, since Japan's Climax Series format rewards finishing position and a team hovering around break-even is still contesting one.</w:t>
      </w:r>
    </w:p>
    <w:p>
      <w:pPr>
        <w:spacing w:after="120" w:before="0" w:line="300"/>
        <w:jc w:val="both"/>
      </w:pPr>
      <w:r>
        <w:rPr>
          <w:rFonts w:ascii="Times New Roman" w:cs="Times New Roman" w:eastAsia="Times New Roman" w:hAnsi="Times New Roman"/>
          <w:color w:val="2E2E2E"/>
          <w:sz w:val="22"/>
          <w:szCs w:val="22"/>
        </w:rPr>
        <w:t xml:space="preserve">Walk-off results carry disproportionate weight in the closing weeks. A game decided in the final at-bat delivers the same single win as a comfortable one, but the effect on a clubhouse heading into the next series is not equivalent.</w:t>
      </w:r>
    </w:p>
    <w:p>
      <w:pPr>
        <w:spacing w:after="120" w:before="0" w:line="300"/>
        <w:jc w:val="both"/>
      </w:pPr>
      <w:r>
        <w:rPr>
          <w:rFonts w:ascii="Times New Roman" w:cs="Times New Roman" w:eastAsia="Times New Roman" w:hAnsi="Times New Roman"/>
          <w:color w:val="2E2E2E"/>
          <w:sz w:val="22"/>
          <w:szCs w:val="22"/>
        </w:rPr>
        <w:t xml:space="preserve">For the Giants, a walk-off defeat lands in a stretch where the club has already seen a winning run ended, compounding the difficulty of a late-season position that has been shifting week to week.</w:t>
      </w:r>
    </w:p>
    <w:p>
      <w:pPr>
        <w:spacing w:after="120" w:before="0" w:line="300"/>
        <w:jc w:val="both"/>
      </w:pPr>
      <w:r>
        <w:rPr>
          <w:rFonts w:ascii="Times New Roman" w:cs="Times New Roman" w:eastAsia="Times New Roman" w:hAnsi="Times New Roman"/>
          <w:color w:val="2E2E2E"/>
          <w:sz w:val="22"/>
          <w:szCs w:val="22"/>
        </w:rPr>
        <w:t xml:space="preserve">Both clubs remain within a Central League picture that has tightened considerably over the past fortnight, with the pennant race running to the season's close on October 31.</w:t>
      </w:r>
    </w:p>
    <w:p>
      <w:pPr>
        <w:spacing w:after="120" w:before="0" w:line="300"/>
        <w:jc w:val="both"/>
      </w:pPr>
      <w:r>
        <w:rPr>
          <w:rFonts w:ascii="Times New Roman" w:cs="Times New Roman" w:eastAsia="Times New Roman" w:hAnsi="Times New Roman"/>
          <w:color w:val="2E2E2E"/>
          <w:sz w:val="22"/>
          <w:szCs w:val="22"/>
        </w:rPr>
        <w:t xml:space="preserve">The Climax Series follows the regular season, with the pennant winner carrying a one-game advantage into the Final Stage, which is what makes every remaining result consequential rather than ceremonial.</w:t>
      </w:r>
    </w:p>
    <w:p>
      <w:pPr>
        <w:spacing w:after="120" w:before="0" w:line="300"/>
        <w:jc w:val="both"/>
      </w:pPr>
      <w:r>
        <w:rPr>
          <w:rFonts w:ascii="Times New Roman" w:cs="Times New Roman" w:eastAsia="Times New Roman" w:hAnsi="Times New Roman"/>
          <w:color w:val="2E2E2E"/>
          <w:sz w:val="22"/>
          <w:szCs w:val="22"/>
        </w:rPr>
        <w:t xml:space="preserve">Japan's regular season runs 143 games, shorter than the Major League schedule, which increases the weight each individual result carries in the final standings.</w:t>
      </w:r>
    </w:p>
    <w:p>
      <w:pPr>
        <w:spacing w:after="120" w:before="0" w:line="300"/>
        <w:jc w:val="both"/>
      </w:pPr>
      <w:r>
        <w:rPr>
          <w:rFonts w:ascii="Times New Roman" w:cs="Times New Roman" w:eastAsia="Times New Roman" w:hAnsi="Times New Roman"/>
          <w:color w:val="2E2E2E"/>
          <w:sz w:val="22"/>
          <w:szCs w:val="22"/>
        </w:rPr>
        <w:t xml:space="preserve">The Climax Series admits the top three clubs in each league, which means a team around .500 can remain in postseason contention considerably later than the raw record suggests.</w:t>
      </w:r>
    </w:p>
    <w:p>
      <w:pPr>
        <w:spacing w:after="120" w:before="0" w:line="300"/>
        <w:jc w:val="both"/>
      </w:pPr>
      <w:r>
        <w:rPr>
          <w:rFonts w:ascii="Times New Roman" w:cs="Times New Roman" w:eastAsia="Times New Roman" w:hAnsi="Times New Roman"/>
          <w:color w:val="2E2E2E"/>
          <w:sz w:val="22"/>
          <w:szCs w:val="22"/>
        </w:rPr>
        <w:t xml:space="preserve">The format's one-game advantage for the pennant winner in the Final Stage was introduced to preserve the regular season's meaning after criticism that a short playoff could negate a long campaign.</w:t>
      </w:r>
    </w:p>
    <w:p>
      <w:pPr>
        <w:spacing w:after="120" w:before="0" w:line="300"/>
        <w:jc w:val="both"/>
      </w:pPr>
      <w:r>
        <w:rPr>
          <w:rFonts w:ascii="Times New Roman" w:cs="Times New Roman" w:eastAsia="Times New Roman" w:hAnsi="Times New Roman"/>
          <w:color w:val="2E2E2E"/>
          <w:sz w:val="22"/>
          <w:szCs w:val="22"/>
        </w:rPr>
        <w:t xml:space="preserve">Walk-off results carry a psychological weight that the standings do not record, particularly in a compressed run-in where clubs face each other repeatedly.</w:t>
      </w:r>
    </w:p>
    <w:p>
      <w:pPr>
        <w:spacing w:after="120" w:before="0" w:line="300"/>
        <w:jc w:val="both"/>
      </w:pPr>
      <w:r>
        <w:rPr>
          <w:rFonts w:ascii="Times New Roman" w:cs="Times New Roman" w:eastAsia="Times New Roman" w:hAnsi="Times New Roman"/>
          <w:color w:val="2E2E2E"/>
          <w:sz w:val="22"/>
          <w:szCs w:val="22"/>
        </w:rPr>
        <w:t xml:space="preserve">Pitching usage tightens through September, with bullpens managed toward the postseason and starters occasionally held back, which alters how late-season games are contested.</w:t>
      </w:r>
    </w:p>
    <w:p>
      <w:pPr>
        <w:spacing w:after="120" w:before="0" w:line="300"/>
        <w:jc w:val="both"/>
      </w:pPr>
      <w:r>
        <w:rPr>
          <w:rFonts w:ascii="Times New Roman" w:cs="Times New Roman" w:eastAsia="Times New Roman" w:hAnsi="Times New Roman"/>
          <w:color w:val="2E2E2E"/>
          <w:sz w:val="22"/>
          <w:szCs w:val="22"/>
        </w:rPr>
        <w:t xml:space="preserve">Both Central League clubs involved remain in a race that has moved repeatedly over the past fortnight.</w:t>
      </w:r>
    </w:p>
    <w:p>
      <w:pPr>
        <w:spacing w:after="200" w:before="40"/>
        <w:jc w:val="right"/>
      </w:pPr>
      <w:r>
        <w:rPr>
          <w:rFonts w:ascii="Helvetica" w:cs="Helvetica" w:eastAsia="Helvetica" w:hAnsi="Helvetica"/>
          <w:i/>
          <w:iCs/>
          <w:color w:val="888888"/>
          <w:sz w:val="16"/>
          <w:szCs w:val="16"/>
        </w:rPr>
        <w:t xml:space="preserve">[348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Early Asian Games Results Give Japan Two Markers to Build On</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Nadeshiko Japan's 8-0 opening win over Thailand and Haruka Kitaguchi's national javelin record of 68.92 metres give the host nation two strong early results at the Aichi-Nagoya Asian Games.</w:t>
      </w:r>
    </w:p>
    <w:p>
      <w:pPr>
        <w:spacing w:after="120" w:before="0" w:line="300"/>
        <w:jc w:val="both"/>
      </w:pPr>
      <w:r>
        <w:rPr>
          <w:rFonts w:ascii="Times New Roman" w:cs="Times New Roman" w:eastAsia="Times New Roman" w:hAnsi="Times New Roman"/>
          <w:color w:val="2E2E2E"/>
          <w:sz w:val="22"/>
          <w:szCs w:val="22"/>
        </w:rPr>
        <w:t xml:space="preserve">The men's volleyball team has already secured the Asian Championship and with it qualification for the Los Angeles Olympics, an achievement that sits alongside rather than within the Games themselves but contributes to the same picture of a strong period for Japanese sport.</w:t>
      </w:r>
    </w:p>
    <w:p>
      <w:pPr>
        <w:spacing w:after="120" w:before="0" w:line="300"/>
        <w:jc w:val="both"/>
      </w:pPr>
      <w:r>
        <w:rPr>
          <w:rFonts w:ascii="Times New Roman" w:cs="Times New Roman" w:eastAsia="Times New Roman" w:hAnsi="Times New Roman"/>
          <w:color w:val="2E2E2E"/>
          <w:sz w:val="22"/>
          <w:szCs w:val="22"/>
        </w:rPr>
        <w:t xml:space="preserve">Japan Sport Council officials identified swimming, judo, gymnastics and athletics as the disciplines where medal expectations are most realistic, and Kitaguchi's record supports the athletics component of that assessment on the first serious day of competition.</w:t>
      </w:r>
    </w:p>
    <w:p>
      <w:pPr>
        <w:spacing w:after="120" w:before="0" w:line="300"/>
        <w:jc w:val="both"/>
      </w:pPr>
      <w:r>
        <w:rPr>
          <w:rFonts w:ascii="Times New Roman" w:cs="Times New Roman" w:eastAsia="Times New Roman" w:hAnsi="Times New Roman"/>
          <w:color w:val="2E2E2E"/>
          <w:sz w:val="22"/>
          <w:szCs w:val="22"/>
        </w:rPr>
        <w:t xml:space="preserve">China remains the overwhelming favourite in the overall medal table, a position built on depth across a wider range of disciplines than any other competing nation can match.</w:t>
      </w:r>
    </w:p>
    <w:p>
      <w:pPr>
        <w:spacing w:after="120" w:before="0" w:line="300"/>
        <w:jc w:val="both"/>
      </w:pPr>
      <w:r>
        <w:rPr>
          <w:rFonts w:ascii="Times New Roman" w:cs="Times New Roman" w:eastAsia="Times New Roman" w:hAnsi="Times New Roman"/>
          <w:color w:val="2E2E2E"/>
          <w:sz w:val="22"/>
          <w:szCs w:val="22"/>
        </w:rPr>
        <w:t xml:space="preserve">Host advantage is a genuine factor rather than a courtesy, with familiar venues, no travel and home support all contributing to performances that athletes themselves frequently describe as exceeding their training expectations.</w:t>
      </w:r>
    </w:p>
    <w:p>
      <w:pPr>
        <w:spacing w:after="120" w:before="0" w:line="300"/>
        <w:jc w:val="both"/>
      </w:pPr>
      <w:r>
        <w:rPr>
          <w:rFonts w:ascii="Times New Roman" w:cs="Times New Roman" w:eastAsia="Times New Roman" w:hAnsi="Times New Roman"/>
          <w:color w:val="2E2E2E"/>
          <w:sz w:val="22"/>
          <w:szCs w:val="22"/>
        </w:rPr>
        <w:t xml:space="preserve">Competition continues across the host region through late September, with the medal table taking clearer shape as the disciplines with the largest event counts progress.</w:t>
      </w:r>
    </w:p>
    <w:p>
      <w:pPr>
        <w:spacing w:after="120" w:before="0" w:line="300"/>
        <w:jc w:val="both"/>
      </w:pPr>
      <w:r>
        <w:rPr>
          <w:rFonts w:ascii="Times New Roman" w:cs="Times New Roman" w:eastAsia="Times New Roman" w:hAnsi="Times New Roman"/>
          <w:color w:val="2E2E2E"/>
          <w:sz w:val="22"/>
          <w:szCs w:val="22"/>
        </w:rPr>
        <w:t xml:space="preserve">The Asian Games span a wider range of disciplines than the Olympics, including sports with regional followings that do not appear on the Olympic programme.</w:t>
      </w:r>
    </w:p>
    <w:p>
      <w:pPr>
        <w:spacing w:after="120" w:before="0" w:line="300"/>
        <w:jc w:val="both"/>
      </w:pPr>
      <w:r>
        <w:rPr>
          <w:rFonts w:ascii="Times New Roman" w:cs="Times New Roman" w:eastAsia="Times New Roman" w:hAnsi="Times New Roman"/>
          <w:color w:val="2E2E2E"/>
          <w:sz w:val="22"/>
          <w:szCs w:val="22"/>
        </w:rPr>
        <w:t xml:space="preserve">That breadth favours nations with depth across many sports, which is the structural basis for China's sustained dominance of the medal table.</w:t>
      </w:r>
    </w:p>
    <w:p>
      <w:pPr>
        <w:spacing w:after="120" w:before="0" w:line="300"/>
        <w:jc w:val="both"/>
      </w:pPr>
      <w:r>
        <w:rPr>
          <w:rFonts w:ascii="Times New Roman" w:cs="Times New Roman" w:eastAsia="Times New Roman" w:hAnsi="Times New Roman"/>
          <w:color w:val="2E2E2E"/>
          <w:sz w:val="22"/>
          <w:szCs w:val="22"/>
        </w:rPr>
        <w:t xml:space="preserve">Japan's own strengths concentrate in swimming, judo, gymnastics and athletics, disciplines in which the country maintains development systems producing internationally competitive athletes consistently.</w:t>
      </w:r>
    </w:p>
    <w:p>
      <w:pPr>
        <w:spacing w:after="120" w:before="0" w:line="300"/>
        <w:jc w:val="both"/>
      </w:pPr>
      <w:r>
        <w:rPr>
          <w:rFonts w:ascii="Times New Roman" w:cs="Times New Roman" w:eastAsia="Times New Roman" w:hAnsi="Times New Roman"/>
          <w:color w:val="2E2E2E"/>
          <w:sz w:val="22"/>
          <w:szCs w:val="22"/>
        </w:rPr>
        <w:t xml:space="preserve">Judo carries particular significance as the sport's country of origin, where expectations attach to performance in a way they do not elsewhere on the programme.</w:t>
      </w:r>
    </w:p>
    <w:p>
      <w:pPr>
        <w:spacing w:after="120" w:before="0" w:line="300"/>
        <w:jc w:val="both"/>
      </w:pPr>
      <w:r>
        <w:rPr>
          <w:rFonts w:ascii="Times New Roman" w:cs="Times New Roman" w:eastAsia="Times New Roman" w:hAnsi="Times New Roman"/>
          <w:color w:val="2E2E2E"/>
          <w:sz w:val="22"/>
          <w:szCs w:val="22"/>
        </w:rPr>
        <w:t xml:space="preserve">Host nations historically improve on their previous medal counts, an effect attributed to home conditions, expanded entry across disciplines and the absence of travel.</w:t>
      </w:r>
    </w:p>
    <w:p>
      <w:pPr>
        <w:spacing w:after="120" w:before="0" w:line="300"/>
        <w:jc w:val="both"/>
      </w:pPr>
      <w:r>
        <w:rPr>
          <w:rFonts w:ascii="Times New Roman" w:cs="Times New Roman" w:eastAsia="Times New Roman" w:hAnsi="Times New Roman"/>
          <w:color w:val="2E2E2E"/>
          <w:sz w:val="22"/>
          <w:szCs w:val="22"/>
        </w:rPr>
        <w:t xml:space="preserve">The medal table takes clearer shape once the disciplines with the largest event counts, principally swimming and athletics, progress through their programmes.</w:t>
      </w:r>
    </w:p>
    <w:p>
      <w:pPr>
        <w:spacing w:after="200" w:before="40"/>
        <w:jc w:val="right"/>
      </w:pPr>
      <w:r>
        <w:rPr>
          <w:rFonts w:ascii="Helvetica" w:cs="Helvetica" w:eastAsia="Helvetica" w:hAnsi="Helvetica"/>
          <w:i/>
          <w:iCs/>
          <w:color w:val="888888"/>
          <w:sz w:val="16"/>
          <w:szCs w:val="16"/>
        </w:rPr>
        <w:t xml:space="preserve">[334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Volleyball's Asian Title Secures an Eleventh Olympic Appearance</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Japan's men's volleyball team has secured the Asian Championship and with it a place at the Los Angeles Olympics, according to Yomiuri Shimbun, confirming an eleventh Olympic appearance for the programme and a second consecutive qualification.</w:t>
      </w:r>
    </w:p>
    <w:p>
      <w:pPr>
        <w:spacing w:after="120" w:before="0" w:line="300"/>
        <w:jc w:val="both"/>
      </w:pPr>
      <w:r>
        <w:rPr>
          <w:rFonts w:ascii="Times New Roman" w:cs="Times New Roman" w:eastAsia="Times New Roman" w:hAnsi="Times New Roman"/>
          <w:color w:val="2E2E2E"/>
          <w:sz w:val="22"/>
          <w:szCs w:val="22"/>
        </w:rPr>
        <w:t xml:space="preserve">Continental qualification carries practical advantages beyond the berth itself, allowing coaching staff to plan preparation around a confirmed timeline rather than waiting on a separate world qualification tournament whose outcome is less predictable.</w:t>
      </w:r>
    </w:p>
    <w:p>
      <w:pPr>
        <w:spacing w:after="120" w:before="0" w:line="300"/>
        <w:jc w:val="both"/>
      </w:pPr>
      <w:r>
        <w:rPr>
          <w:rFonts w:ascii="Times New Roman" w:cs="Times New Roman" w:eastAsia="Times New Roman" w:hAnsi="Times New Roman"/>
          <w:color w:val="2E2E2E"/>
          <w:sz w:val="22"/>
          <w:szCs w:val="22"/>
        </w:rPr>
        <w:t xml:space="preserve">Back-to-back qualifications indicate a programme with depth rather than one riding a single exceptional generation, built on a domestic V.League structure that has continued supplying internationally competitive players.</w:t>
      </w:r>
    </w:p>
    <w:p>
      <w:pPr>
        <w:spacing w:after="120" w:before="0" w:line="300"/>
        <w:jc w:val="both"/>
      </w:pPr>
      <w:r>
        <w:rPr>
          <w:rFonts w:ascii="Times New Roman" w:cs="Times New Roman" w:eastAsia="Times New Roman" w:hAnsi="Times New Roman"/>
          <w:color w:val="2E2E2E"/>
          <w:sz w:val="22"/>
          <w:szCs w:val="22"/>
        </w:rPr>
        <w:t xml:space="preserve">Volleyball retains a devoted following in Japan across generations, supported by school competition and a professional league that has maintained broadcast presence even without the audience share baseball commands.</w:t>
      </w:r>
    </w:p>
    <w:p>
      <w:pPr>
        <w:spacing w:after="120" w:before="0" w:line="300"/>
        <w:jc w:val="both"/>
      </w:pPr>
      <w:r>
        <w:rPr>
          <w:rFonts w:ascii="Times New Roman" w:cs="Times New Roman" w:eastAsia="Times New Roman" w:hAnsi="Times New Roman"/>
          <w:color w:val="2E2E2E"/>
          <w:sz w:val="22"/>
          <w:szCs w:val="22"/>
        </w:rPr>
        <w:t xml:space="preserve">Attention now turns to preparation for Los Angeles, where the standard required to contend for medals sits above continental championship level.</w:t>
      </w:r>
    </w:p>
    <w:p>
      <w:pPr>
        <w:spacing w:after="120" w:before="0" w:line="300"/>
        <w:jc w:val="both"/>
      </w:pPr>
      <w:r>
        <w:rPr>
          <w:rFonts w:ascii="Times New Roman" w:cs="Times New Roman" w:eastAsia="Times New Roman" w:hAnsi="Times New Roman"/>
          <w:color w:val="2E2E2E"/>
          <w:sz w:val="22"/>
          <w:szCs w:val="22"/>
        </w:rPr>
        <w:t xml:space="preserve">The squad's Asian title arrives during a Games in which Japanese performances across several disciplines have started strongly, giving the domestic sporting calendar an unusually full autumn.</w:t>
      </w:r>
    </w:p>
    <w:p>
      <w:pPr>
        <w:spacing w:after="120" w:before="0" w:line="300"/>
        <w:jc w:val="both"/>
      </w:pPr>
      <w:r>
        <w:rPr>
          <w:rFonts w:ascii="Times New Roman" w:cs="Times New Roman" w:eastAsia="Times New Roman" w:hAnsi="Times New Roman"/>
          <w:color w:val="2E2E2E"/>
          <w:sz w:val="22"/>
          <w:szCs w:val="22"/>
        </w:rPr>
        <w:t xml:space="preserve">Olympic volleyball qualification proceeds through several routes, including continental championships and a separate world qualification tournament, with the continental path offering the earliest certainty.</w:t>
      </w:r>
    </w:p>
    <w:p>
      <w:pPr>
        <w:spacing w:after="120" w:before="0" w:line="300"/>
        <w:jc w:val="both"/>
      </w:pPr>
      <w:r>
        <w:rPr>
          <w:rFonts w:ascii="Times New Roman" w:cs="Times New Roman" w:eastAsia="Times New Roman" w:hAnsi="Times New Roman"/>
          <w:color w:val="2E2E2E"/>
          <w:sz w:val="22"/>
          <w:szCs w:val="22"/>
        </w:rPr>
        <w:t xml:space="preserve">Securing a place early allows a programme to plan its preparation calendar around a confirmed target rather than around the contingency of a later qualifying event.</w:t>
      </w:r>
    </w:p>
    <w:p>
      <w:pPr>
        <w:spacing w:after="120" w:before="0" w:line="300"/>
        <w:jc w:val="both"/>
      </w:pPr>
      <w:r>
        <w:rPr>
          <w:rFonts w:ascii="Times New Roman" w:cs="Times New Roman" w:eastAsia="Times New Roman" w:hAnsi="Times New Roman"/>
          <w:color w:val="2E2E2E"/>
          <w:sz w:val="22"/>
          <w:szCs w:val="22"/>
        </w:rPr>
        <w:t xml:space="preserve">Japan's men's programme reached its competitive peak in the 1970s and spent subsequent decades rebuilding, with the current period representing its strongest sustained run in many years.</w:t>
      </w:r>
    </w:p>
    <w:p>
      <w:pPr>
        <w:spacing w:after="120" w:before="0" w:line="300"/>
        <w:jc w:val="both"/>
      </w:pPr>
      <w:r>
        <w:rPr>
          <w:rFonts w:ascii="Times New Roman" w:cs="Times New Roman" w:eastAsia="Times New Roman" w:hAnsi="Times New Roman"/>
          <w:color w:val="2E2E2E"/>
          <w:sz w:val="22"/>
          <w:szCs w:val="22"/>
        </w:rPr>
        <w:t xml:space="preserve">The domestic V.League supplies the player base, and its professionalisation over recent years has improved the training environment available to national team candidates.</w:t>
      </w:r>
    </w:p>
    <w:p>
      <w:pPr>
        <w:spacing w:after="120" w:before="0" w:line="300"/>
        <w:jc w:val="both"/>
      </w:pPr>
      <w:r>
        <w:rPr>
          <w:rFonts w:ascii="Times New Roman" w:cs="Times New Roman" w:eastAsia="Times New Roman" w:hAnsi="Times New Roman"/>
          <w:color w:val="2E2E2E"/>
          <w:sz w:val="22"/>
          <w:szCs w:val="22"/>
        </w:rPr>
        <w:t xml:space="preserve">Iran has been among Asia's strongest programmes for over a decade, which is what gives the championship victory its competitive weight.</w:t>
      </w:r>
    </w:p>
    <w:p>
      <w:pPr>
        <w:spacing w:after="120" w:before="0" w:line="300"/>
        <w:jc w:val="both"/>
      </w:pPr>
      <w:r>
        <w:rPr>
          <w:rFonts w:ascii="Times New Roman" w:cs="Times New Roman" w:eastAsia="Times New Roman" w:hAnsi="Times New Roman"/>
          <w:color w:val="2E2E2E"/>
          <w:sz w:val="22"/>
          <w:szCs w:val="22"/>
        </w:rPr>
        <w:t xml:space="preserve">The standard required for an Olympic medal sits above continental level, with European and South American programmes dominating recent Games.</w:t>
      </w:r>
    </w:p>
    <w:p>
      <w:pPr>
        <w:spacing w:after="200" w:before="40"/>
        <w:jc w:val="right"/>
      </w:pPr>
      <w:r>
        <w:rPr>
          <w:rFonts w:ascii="Helvetica" w:cs="Helvetica" w:eastAsia="Helvetica" w:hAnsi="Helvetica"/>
          <w:i/>
          <w:iCs/>
          <w:color w:val="888888"/>
          <w:sz w:val="16"/>
          <w:szCs w:val="16"/>
        </w:rPr>
        <w:t xml:space="preserve">[315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Central League Run-In Tightens as October Approaches</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Yokohama DeNA's walk-off win returning the club to a .500 winning percentage, and the Giants' own walk-off defeat, add further movement to a Central League picture that has shifted repeatedly over the past fortnight.</w:t>
      </w:r>
    </w:p>
    <w:p>
      <w:pPr>
        <w:spacing w:after="120" w:before="0" w:line="300"/>
        <w:jc w:val="both"/>
      </w:pPr>
      <w:r>
        <w:rPr>
          <w:rFonts w:ascii="Times New Roman" w:cs="Times New Roman" w:eastAsia="Times New Roman" w:hAnsi="Times New Roman"/>
          <w:color w:val="2E2E2E"/>
          <w:sz w:val="22"/>
          <w:szCs w:val="22"/>
        </w:rPr>
        <w:t xml:space="preserve">The regular season runs to October 31, leaving enough fixtures for the standings to change substantially and few enough that individual results carry weight they would not in June.</w:t>
      </w:r>
    </w:p>
    <w:p>
      <w:pPr>
        <w:spacing w:after="120" w:before="0" w:line="300"/>
        <w:jc w:val="both"/>
      </w:pPr>
      <w:r>
        <w:rPr>
          <w:rFonts w:ascii="Times New Roman" w:cs="Times New Roman" w:eastAsia="Times New Roman" w:hAnsi="Times New Roman"/>
          <w:color w:val="2E2E2E"/>
          <w:sz w:val="22"/>
          <w:szCs w:val="22"/>
        </w:rPr>
        <w:t xml:space="preserve">Japan's Climax Series format is what gives late positioning its consequence. The pennant winner enters the Final Stage with a one-game advantage already banked, a margin that has decided series in past years.</w:t>
      </w:r>
    </w:p>
    <w:p>
      <w:pPr>
        <w:spacing w:after="120" w:before="0" w:line="300"/>
        <w:jc w:val="both"/>
      </w:pPr>
      <w:r>
        <w:rPr>
          <w:rFonts w:ascii="Times New Roman" w:cs="Times New Roman" w:eastAsia="Times New Roman" w:hAnsi="Times New Roman"/>
          <w:color w:val="2E2E2E"/>
          <w:sz w:val="22"/>
          <w:szCs w:val="22"/>
        </w:rPr>
        <w:t xml:space="preserve">Second place carries its own reward in the right to host the First Stage, which makes the contest below the top meaningful rather than consolatory.</w:t>
      </w:r>
    </w:p>
    <w:p>
      <w:pPr>
        <w:spacing w:after="120" w:before="0" w:line="300"/>
        <w:jc w:val="both"/>
      </w:pPr>
      <w:r>
        <w:rPr>
          <w:rFonts w:ascii="Times New Roman" w:cs="Times New Roman" w:eastAsia="Times New Roman" w:hAnsi="Times New Roman"/>
          <w:color w:val="2E2E2E"/>
          <w:sz w:val="22"/>
          <w:szCs w:val="22"/>
        </w:rPr>
        <w:t xml:space="preserve">Clubs out of contention shift toward evaluating younger players and managing pitching workloads, a familiar September rhythm that changes the character of fixtures against them.</w:t>
      </w:r>
    </w:p>
    <w:p>
      <w:pPr>
        <w:spacing w:after="120" w:before="0" w:line="300"/>
        <w:jc w:val="both"/>
      </w:pPr>
      <w:r>
        <w:rPr>
          <w:rFonts w:ascii="Times New Roman" w:cs="Times New Roman" w:eastAsia="Times New Roman" w:hAnsi="Times New Roman"/>
          <w:color w:val="2E2E2E"/>
          <w:sz w:val="22"/>
          <w:szCs w:val="22"/>
        </w:rPr>
        <w:t xml:space="preserve">The Pacific League picture has been more settled, with SoftBank's form through recent weeks leaving less doubt at the top than the Central League has produced.</w:t>
      </w:r>
    </w:p>
    <w:p>
      <w:pPr>
        <w:spacing w:after="120" w:before="0" w:line="300"/>
        <w:jc w:val="both"/>
      </w:pPr>
      <w:r>
        <w:rPr>
          <w:rFonts w:ascii="Times New Roman" w:cs="Times New Roman" w:eastAsia="Times New Roman" w:hAnsi="Times New Roman"/>
          <w:color w:val="2E2E2E"/>
          <w:sz w:val="22"/>
          <w:szCs w:val="22"/>
        </w:rPr>
        <w:t xml:space="preserve">September in Japanese baseball brings expanded attention to the standings as clubs separate into contenders and those playing out the schedule.</w:t>
      </w:r>
    </w:p>
    <w:p>
      <w:pPr>
        <w:spacing w:after="120" w:before="0" w:line="300"/>
        <w:jc w:val="both"/>
      </w:pPr>
      <w:r>
        <w:rPr>
          <w:rFonts w:ascii="Times New Roman" w:cs="Times New Roman" w:eastAsia="Times New Roman" w:hAnsi="Times New Roman"/>
          <w:color w:val="2E2E2E"/>
          <w:sz w:val="22"/>
          <w:szCs w:val="22"/>
        </w:rPr>
        <w:t xml:space="preserve">Magic numbers begin appearing in coverage once a club's lead exceeds the games remaining for its nearest rival, a calculation followed closely by supporters.</w:t>
      </w:r>
    </w:p>
    <w:p>
      <w:pPr>
        <w:spacing w:after="120" w:before="0" w:line="300"/>
        <w:jc w:val="both"/>
      </w:pPr>
      <w:r>
        <w:rPr>
          <w:rFonts w:ascii="Times New Roman" w:cs="Times New Roman" w:eastAsia="Times New Roman" w:hAnsi="Times New Roman"/>
          <w:color w:val="2E2E2E"/>
          <w:sz w:val="22"/>
          <w:szCs w:val="22"/>
        </w:rPr>
        <w:t xml:space="preserve">The Climax Series structure means the regular season determines seeding rather than the championship itself, a design that has drawn criticism for reducing the pennant's finality.</w:t>
      </w:r>
    </w:p>
    <w:p>
      <w:pPr>
        <w:spacing w:after="120" w:before="0" w:line="300"/>
        <w:jc w:val="both"/>
      </w:pPr>
      <w:r>
        <w:rPr>
          <w:rFonts w:ascii="Times New Roman" w:cs="Times New Roman" w:eastAsia="Times New Roman" w:hAnsi="Times New Roman"/>
          <w:color w:val="2E2E2E"/>
          <w:sz w:val="22"/>
          <w:szCs w:val="22"/>
        </w:rPr>
        <w:t xml:space="preserve">Defenders of the format note that it sustains interest across more clubs deeper into the season, which serves the league's commercial interests.</w:t>
      </w:r>
    </w:p>
    <w:p>
      <w:pPr>
        <w:spacing w:after="120" w:before="0" w:line="300"/>
        <w:jc w:val="both"/>
      </w:pPr>
      <w:r>
        <w:rPr>
          <w:rFonts w:ascii="Times New Roman" w:cs="Times New Roman" w:eastAsia="Times New Roman" w:hAnsi="Times New Roman"/>
          <w:color w:val="2E2E2E"/>
          <w:sz w:val="22"/>
          <w:szCs w:val="22"/>
        </w:rPr>
        <w:t xml:space="preserve">Pitching rotations are frequently adjusted in the final weeks to align a club's strongest starters with the postseason, a decision that can affect late-season results.</w:t>
      </w:r>
    </w:p>
    <w:p>
      <w:pPr>
        <w:spacing w:after="120" w:before="0" w:line="300"/>
        <w:jc w:val="both"/>
      </w:pPr>
      <w:r>
        <w:rPr>
          <w:rFonts w:ascii="Times New Roman" w:cs="Times New Roman" w:eastAsia="Times New Roman" w:hAnsi="Times New Roman"/>
          <w:color w:val="2E2E2E"/>
          <w:sz w:val="22"/>
          <w:szCs w:val="22"/>
        </w:rPr>
        <w:t xml:space="preserve">The Japan Series follows the Climax Series, matching the two league champions in the competition that determines the national title.</w:t>
      </w:r>
    </w:p>
    <w:p>
      <w:pPr>
        <w:spacing w:after="200" w:before="40"/>
        <w:jc w:val="right"/>
      </w:pPr>
      <w:r>
        <w:rPr>
          <w:rFonts w:ascii="Helvetica" w:cs="Helvetica" w:eastAsia="Helvetica" w:hAnsi="Helvetica"/>
          <w:i/>
          <w:iCs/>
          <w:color w:val="888888"/>
          <w:sz w:val="16"/>
          <w:szCs w:val="16"/>
        </w:rPr>
        <w:t xml:space="preserve">[310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Group Stage Opens Japan's Path Through the Football Tournament</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Nadeshiko Japan's 8-0 opening win over Thailand begins a group stage in which goal difference frequently determines qualification, giving the margin a value beyond the three points it delivered.</w:t>
      </w:r>
    </w:p>
    <w:p>
      <w:pPr>
        <w:spacing w:after="120" w:before="0" w:line="300"/>
        <w:jc w:val="both"/>
      </w:pPr>
      <w:r>
        <w:rPr>
          <w:rFonts w:ascii="Times New Roman" w:cs="Times New Roman" w:eastAsia="Times New Roman" w:hAnsi="Times New Roman"/>
          <w:color w:val="2E2E2E"/>
          <w:sz w:val="22"/>
          <w:szCs w:val="22"/>
        </w:rPr>
        <w:t xml:space="preserve">Asian Games football operates on a group format followed by knockout rounds, a structure in which a single poor result can be survived but an early points deficit is difficult to recover.</w:t>
      </w:r>
    </w:p>
    <w:p>
      <w:pPr>
        <w:spacing w:after="120" w:before="0" w:line="300"/>
        <w:jc w:val="both"/>
      </w:pPr>
      <w:r>
        <w:rPr>
          <w:rFonts w:ascii="Times New Roman" w:cs="Times New Roman" w:eastAsia="Times New Roman" w:hAnsi="Times New Roman"/>
          <w:color w:val="2E2E2E"/>
          <w:sz w:val="22"/>
          <w:szCs w:val="22"/>
        </w:rPr>
        <w:t xml:space="preserve">Banking a large goal difference in the opening fixture gives coaching staff room to rotate in subsequent group matches, managing minutes across a squad facing a compressed tournament schedule.</w:t>
      </w:r>
    </w:p>
    <w:p>
      <w:pPr>
        <w:spacing w:after="120" w:before="0" w:line="300"/>
        <w:jc w:val="both"/>
      </w:pPr>
      <w:r>
        <w:rPr>
          <w:rFonts w:ascii="Times New Roman" w:cs="Times New Roman" w:eastAsia="Times New Roman" w:hAnsi="Times New Roman"/>
          <w:color w:val="2E2E2E"/>
          <w:sz w:val="22"/>
          <w:szCs w:val="22"/>
        </w:rPr>
        <w:t xml:space="preserve">Japan's women's programme carries expectations at continental level that few opponents can match, built on a World Cup title and sustained domestic development since.</w:t>
      </w:r>
    </w:p>
    <w:p>
      <w:pPr>
        <w:spacing w:after="120" w:before="0" w:line="300"/>
        <w:jc w:val="both"/>
      </w:pPr>
      <w:r>
        <w:rPr>
          <w:rFonts w:ascii="Times New Roman" w:cs="Times New Roman" w:eastAsia="Times New Roman" w:hAnsi="Times New Roman"/>
          <w:color w:val="2E2E2E"/>
          <w:sz w:val="22"/>
          <w:szCs w:val="22"/>
        </w:rPr>
        <w:t xml:space="preserve">The knockout rounds are where the tournament's genuine contenders separate, and where host advantage tends to matter most in tightly contested fixtures.</w:t>
      </w:r>
    </w:p>
    <w:p>
      <w:pPr>
        <w:spacing w:after="120" w:before="0" w:line="300"/>
        <w:jc w:val="both"/>
      </w:pPr>
      <w:r>
        <w:rPr>
          <w:rFonts w:ascii="Times New Roman" w:cs="Times New Roman" w:eastAsia="Times New Roman" w:hAnsi="Times New Roman"/>
          <w:color w:val="2E2E2E"/>
          <w:sz w:val="22"/>
          <w:szCs w:val="22"/>
        </w:rPr>
        <w:t xml:space="preserve">Subsequent group results will determine seeding into those rounds and therefore the difficulty of Japan's path through them.</w:t>
      </w:r>
    </w:p>
    <w:p>
      <w:pPr>
        <w:spacing w:after="120" w:before="0" w:line="300"/>
        <w:jc w:val="both"/>
      </w:pPr>
      <w:r>
        <w:rPr>
          <w:rFonts w:ascii="Times New Roman" w:cs="Times New Roman" w:eastAsia="Times New Roman" w:hAnsi="Times New Roman"/>
          <w:color w:val="2E2E2E"/>
          <w:sz w:val="22"/>
          <w:szCs w:val="22"/>
        </w:rPr>
        <w:t xml:space="preserve">Asian Games football operates under age restrictions for the men's tournament while the women's competition fields full senior national teams, which changes the competitive standard between them.</w:t>
      </w:r>
    </w:p>
    <w:p>
      <w:pPr>
        <w:spacing w:after="120" w:before="0" w:line="300"/>
        <w:jc w:val="both"/>
      </w:pPr>
      <w:r>
        <w:rPr>
          <w:rFonts w:ascii="Times New Roman" w:cs="Times New Roman" w:eastAsia="Times New Roman" w:hAnsi="Times New Roman"/>
          <w:color w:val="2E2E2E"/>
          <w:sz w:val="22"/>
          <w:szCs w:val="22"/>
        </w:rPr>
        <w:t xml:space="preserve">Group stage seeding determines the knockout bracket, which is why results against weaker opponents carry consequences beyond the points themselves.</w:t>
      </w:r>
    </w:p>
    <w:p>
      <w:pPr>
        <w:spacing w:after="120" w:before="0" w:line="300"/>
        <w:jc w:val="both"/>
      </w:pPr>
      <w:r>
        <w:rPr>
          <w:rFonts w:ascii="Times New Roman" w:cs="Times New Roman" w:eastAsia="Times New Roman" w:hAnsi="Times New Roman"/>
          <w:color w:val="2E2E2E"/>
          <w:sz w:val="22"/>
          <w:szCs w:val="22"/>
        </w:rPr>
        <w:t xml:space="preserve">Squad rotation across a compressed tournament schedule is a standard management question, balancing the risk of dropping points against the accumulated fatigue of a short turnaround.</w:t>
      </w:r>
    </w:p>
    <w:p>
      <w:pPr>
        <w:spacing w:after="120" w:before="0" w:line="300"/>
        <w:jc w:val="both"/>
      </w:pPr>
      <w:r>
        <w:rPr>
          <w:rFonts w:ascii="Times New Roman" w:cs="Times New Roman" w:eastAsia="Times New Roman" w:hAnsi="Times New Roman"/>
          <w:color w:val="2E2E2E"/>
          <w:sz w:val="22"/>
          <w:szCs w:val="22"/>
        </w:rPr>
        <w:t xml:space="preserve">Japan's women's programme has depth sufficient to rotate without a substantial drop in standard, an advantage not all competing nations enjoy.</w:t>
      </w:r>
    </w:p>
    <w:p>
      <w:pPr>
        <w:spacing w:after="120" w:before="0" w:line="300"/>
        <w:jc w:val="both"/>
      </w:pPr>
      <w:r>
        <w:rPr>
          <w:rFonts w:ascii="Times New Roman" w:cs="Times New Roman" w:eastAsia="Times New Roman" w:hAnsi="Times New Roman"/>
          <w:color w:val="2E2E2E"/>
          <w:sz w:val="22"/>
          <w:szCs w:val="22"/>
        </w:rPr>
        <w:t xml:space="preserve">Knockout football introduces variance that group play suppresses, which is why favourites frequently describe the round of eight as the tournament's genuine starting point.</w:t>
      </w:r>
    </w:p>
    <w:p>
      <w:pPr>
        <w:spacing w:after="120" w:before="0" w:line="300"/>
        <w:jc w:val="both"/>
      </w:pPr>
      <w:r>
        <w:rPr>
          <w:rFonts w:ascii="Times New Roman" w:cs="Times New Roman" w:eastAsia="Times New Roman" w:hAnsi="Times New Roman"/>
          <w:color w:val="2E2E2E"/>
          <w:sz w:val="22"/>
          <w:szCs w:val="22"/>
        </w:rPr>
        <w:t xml:space="preserve">Home support in the knockout rounds is the factor host nations most often credit in tight fixtures decided by fine margins.</w:t>
      </w:r>
    </w:p>
    <w:p>
      <w:pPr>
        <w:spacing w:after="200" w:before="40"/>
        <w:jc w:val="right"/>
      </w:pPr>
      <w:r>
        <w:rPr>
          <w:rFonts w:ascii="Helvetica" w:cs="Helvetica" w:eastAsia="Helvetica" w:hAnsi="Helvetica"/>
          <w:i/>
          <w:iCs/>
          <w:color w:val="888888"/>
          <w:sz w:val="16"/>
          <w:szCs w:val="16"/>
        </w:rPr>
        <w:t xml:space="preserve">[293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How Sumo's Ranks Rise and Fall</w:t>
      </w:r>
    </w:p>
    <w:p>
      <w:pPr>
        <w:spacing w:after="40" w:before="40"/>
      </w:pPr>
      <w:r>
        <w:rPr>
          <w:rFonts w:ascii="Times New Roman" w:cs="Times New Roman" w:eastAsia="Times New Roman" w:hAnsi="Times New Roman"/>
          <w:i/>
          <w:iCs/>
          <w:color w:val="9B1B2A"/>
          <w:sz w:val="22"/>
          <w:szCs w:val="22"/>
        </w:rPr>
        <w:t xml:space="preserve">Aonishiki's return to ozeki illustrates rules that govern every wrestler's career</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The banzuke, the ranking sheet published before each tournament, orders every professional sumo wrestler from the top division down through the lower ranks, and its rules explain much of what happens in a tournament like the current Aki Basho.</w:t>
      </w:r>
    </w:p>
    <w:p>
      <w:pPr>
        <w:spacing w:after="120" w:before="0" w:line="300"/>
        <w:jc w:val="both"/>
      </w:pPr>
      <w:r>
        <w:rPr>
          <w:rFonts w:ascii="Times New Roman" w:cs="Times New Roman" w:eastAsia="Times New Roman" w:hAnsi="Times New Roman"/>
          <w:color w:val="2E2E2E"/>
          <w:sz w:val="22"/>
          <w:szCs w:val="22"/>
        </w:rPr>
        <w:t xml:space="preserve">Six tournaments a year, each fifteen days, determine movement. A winning record, eight wins or more in the top division, generally moves a wrestler up. A losing record moves him down. The size of the move depends on the margin.</w:t>
      </w:r>
    </w:p>
    <w:p>
      <w:pPr>
        <w:spacing w:after="120" w:before="0" w:line="300"/>
        <w:jc w:val="both"/>
      </w:pPr>
      <w:r>
        <w:rPr>
          <w:rFonts w:ascii="Times New Roman" w:cs="Times New Roman" w:eastAsia="Times New Roman" w:hAnsi="Times New Roman"/>
          <w:color w:val="2E2E2E"/>
          <w:sz w:val="22"/>
          <w:szCs w:val="22"/>
        </w:rPr>
        <w:t xml:space="preserve">Yokozuna sit at the summit and are the exception to the rule. Once promoted, a yokozuna cannot be demoted. Sustained poor performance produces pressure to retire instead, which is why the rank carries a weight no other does.</w:t>
      </w:r>
    </w:p>
    <w:p>
      <w:pPr>
        <w:spacing w:after="120" w:before="0" w:line="300"/>
        <w:jc w:val="both"/>
      </w:pPr>
      <w:r>
        <w:rPr>
          <w:rFonts w:ascii="Times New Roman" w:cs="Times New Roman" w:eastAsia="Times New Roman" w:hAnsi="Times New Roman"/>
          <w:color w:val="2E2E2E"/>
          <w:sz w:val="22"/>
          <w:szCs w:val="22"/>
        </w:rPr>
        <w:t xml:space="preserve">Promotion to yokozuna rests with the Japan Sumo Association's judging department on the recommendation of the Yokozuna Deliberation Council, with two consecutive championships or an equivalent record as the customary benchmark.</w:t>
      </w:r>
    </w:p>
    <w:p>
      <w:pPr>
        <w:spacing w:after="120" w:before="0" w:line="300"/>
        <w:jc w:val="both"/>
      </w:pPr>
      <w:r>
        <w:rPr>
          <w:rFonts w:ascii="Times New Roman" w:cs="Times New Roman" w:eastAsia="Times New Roman" w:hAnsi="Times New Roman"/>
          <w:color w:val="2E2E2E"/>
          <w:sz w:val="22"/>
          <w:szCs w:val="22"/>
        </w:rPr>
        <w:t xml:space="preserve">Ozeki, the rank below, carries a specific protection and a specific penalty. An ozeki with a losing record is placed on notice, and a second consecutive losing record demotes him to sekiwake.</w:t>
      </w:r>
    </w:p>
    <w:p>
      <w:pPr>
        <w:spacing w:after="120" w:before="0" w:line="300"/>
        <w:jc w:val="both"/>
      </w:pPr>
      <w:r>
        <w:rPr>
          <w:rFonts w:ascii="Times New Roman" w:cs="Times New Roman" w:eastAsia="Times New Roman" w:hAnsi="Times New Roman"/>
          <w:color w:val="2E2E2E"/>
          <w:sz w:val="22"/>
          <w:szCs w:val="22"/>
        </w:rPr>
        <w:t xml:space="preserve">The path back is defined precisely. A demoted ozeki who wins ten or more bouts in the very next tournament regains the rank automatically, without waiting for the usual promotion assessment.</w:t>
      </w:r>
    </w:p>
    <w:p>
      <w:pPr>
        <w:spacing w:after="120" w:before="0" w:line="300"/>
        <w:jc w:val="both"/>
      </w:pPr>
      <w:r>
        <w:rPr>
          <w:rFonts w:ascii="Times New Roman" w:cs="Times New Roman" w:eastAsia="Times New Roman" w:hAnsi="Times New Roman"/>
          <w:color w:val="2E2E2E"/>
          <w:sz w:val="22"/>
          <w:szCs w:val="22"/>
        </w:rPr>
        <w:t xml:space="preserve">That is the provision Aonishiki used. Ranked sekiwake at Nagoya in July, he finished 12-3, and the September banzuke restored him to ozeki on the east side.</w:t>
      </w:r>
    </w:p>
    <w:p>
      <w:pPr>
        <w:spacing w:after="120" w:before="0" w:line="300"/>
        <w:jc w:val="both"/>
      </w:pPr>
      <w:r>
        <w:rPr>
          <w:rFonts w:ascii="Times New Roman" w:cs="Times New Roman" w:eastAsia="Times New Roman" w:hAnsi="Times New Roman"/>
          <w:color w:val="2E2E2E"/>
          <w:sz w:val="22"/>
          <w:szCs w:val="22"/>
        </w:rPr>
        <w:t xml:space="preserve">Promotion to ozeki in the first place generally requires around thirty-three wins across three consecutive tournaments at the sanyaku ranks, a threshold that is customary rather than statutory.</w:t>
      </w:r>
    </w:p>
    <w:p>
      <w:pPr>
        <w:spacing w:after="120" w:before="0" w:line="300"/>
        <w:jc w:val="both"/>
      </w:pPr>
      <w:r>
        <w:rPr>
          <w:rFonts w:ascii="Times New Roman" w:cs="Times New Roman" w:eastAsia="Times New Roman" w:hAnsi="Times New Roman"/>
          <w:color w:val="2E2E2E"/>
          <w:sz w:val="22"/>
          <w:szCs w:val="22"/>
        </w:rPr>
        <w:t xml:space="preserve">Aonishiki reached ozeki in fourteen tournaments from his professional debut, the fastest ascent since the six-tournament calendar was introduced in 1958.</w:t>
      </w:r>
    </w:p>
    <w:p>
      <w:pPr>
        <w:spacing w:after="120" w:before="0" w:line="300"/>
        <w:jc w:val="both"/>
      </w:pPr>
      <w:r>
        <w:rPr>
          <w:rFonts w:ascii="Times New Roman" w:cs="Times New Roman" w:eastAsia="Times New Roman" w:hAnsi="Times New Roman"/>
          <w:color w:val="2E2E2E"/>
          <w:sz w:val="22"/>
          <w:szCs w:val="22"/>
        </w:rPr>
        <w:t xml:space="preserve">Below sanyaku, the maegashira ranks fill out the top division, with wrestlers numbered from one downward and movement between numbers following the same win-loss logic.</w:t>
      </w:r>
    </w:p>
    <w:p>
      <w:pPr>
        <w:spacing w:after="120" w:before="0" w:line="300"/>
        <w:jc w:val="both"/>
      </w:pPr>
      <w:r>
        <w:rPr>
          <w:rFonts w:ascii="Times New Roman" w:cs="Times New Roman" w:eastAsia="Times New Roman" w:hAnsi="Times New Roman"/>
          <w:color w:val="2E2E2E"/>
          <w:sz w:val="22"/>
          <w:szCs w:val="22"/>
        </w:rPr>
        <w:t xml:space="preserve">Scheduling follows rank. Wrestlers face opponents near their own level, with the highest-ranked meeting each other in the tournament's closing days, which is why early unbeaten records at the top establish less than they appear to.</w:t>
      </w:r>
    </w:p>
    <w:p>
      <w:pPr>
        <w:spacing w:after="120" w:before="0" w:line="300"/>
        <w:jc w:val="both"/>
      </w:pPr>
      <w:r>
        <w:rPr>
          <w:rFonts w:ascii="Times New Roman" w:cs="Times New Roman" w:eastAsia="Times New Roman" w:hAnsi="Times New Roman"/>
          <w:color w:val="2E2E2E"/>
          <w:sz w:val="22"/>
          <w:szCs w:val="22"/>
        </w:rPr>
        <w:t xml:space="preserve">The system's clarity is part of sumo's appeal. A wrestler's standing on any given day is a matter of public record, determined by results rather than by selection.</w:t>
      </w:r>
    </w:p>
    <w:p>
      <w:pPr>
        <w:spacing w:after="200" w:before="40"/>
        <w:jc w:val="right"/>
      </w:pPr>
      <w:r>
        <w:rPr>
          <w:rFonts w:ascii="Helvetica" w:cs="Helvetica" w:eastAsia="Helvetica" w:hAnsi="Helvetica"/>
          <w:i/>
          <w:iCs/>
          <w:color w:val="888888"/>
          <w:sz w:val="16"/>
          <w:szCs w:val="16"/>
        </w:rPr>
        <w:t xml:space="preserve">[376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Judo and Gymnastics Carry Japan's Heaviest Expectations at the Games</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Among the disciplines where Japan Sport Council officials have set realistic medal targets, judo and gymnastics carry a weight the others do not, for reasons rooted in each sport's history in the country.</w:t>
      </w:r>
    </w:p>
    <w:p>
      <w:pPr>
        <w:spacing w:after="120" w:before="0" w:line="300"/>
        <w:jc w:val="both"/>
      </w:pPr>
      <w:r>
        <w:rPr>
          <w:rFonts w:ascii="Times New Roman" w:cs="Times New Roman" w:eastAsia="Times New Roman" w:hAnsi="Times New Roman"/>
          <w:color w:val="2E2E2E"/>
          <w:sz w:val="22"/>
          <w:szCs w:val="22"/>
        </w:rPr>
        <w:t xml:space="preserve">Judo originated in Japan, and Japanese judoka compete under an expectation of dominance that no other national programme in any sport quite matches.</w:t>
      </w:r>
    </w:p>
    <w:p>
      <w:pPr>
        <w:spacing w:after="120" w:before="0" w:line="300"/>
        <w:jc w:val="both"/>
      </w:pPr>
      <w:r>
        <w:rPr>
          <w:rFonts w:ascii="Times New Roman" w:cs="Times New Roman" w:eastAsia="Times New Roman" w:hAnsi="Times New Roman"/>
          <w:color w:val="2E2E2E"/>
          <w:sz w:val="22"/>
          <w:szCs w:val="22"/>
        </w:rPr>
        <w:t xml:space="preserve">That expectation has been met more often than not at continental level, where Japanese depth across weight categories has historically produced medal counts other nations cannot approach.</w:t>
      </w:r>
    </w:p>
    <w:p>
      <w:pPr>
        <w:spacing w:after="120" w:before="0" w:line="300"/>
        <w:jc w:val="both"/>
      </w:pPr>
      <w:r>
        <w:rPr>
          <w:rFonts w:ascii="Times New Roman" w:cs="Times New Roman" w:eastAsia="Times New Roman" w:hAnsi="Times New Roman"/>
          <w:color w:val="2E2E2E"/>
          <w:sz w:val="22"/>
          <w:szCs w:val="22"/>
        </w:rPr>
        <w:t xml:space="preserve">Gymnastics carries a different but comparable legacy, with Japanese men's programmes having dominated international competition through much of the late twentieth century and remaining among the world's strongest since.</w:t>
      </w:r>
    </w:p>
    <w:p>
      <w:pPr>
        <w:spacing w:after="120" w:before="0" w:line="300"/>
        <w:jc w:val="both"/>
      </w:pPr>
      <w:r>
        <w:rPr>
          <w:rFonts w:ascii="Times New Roman" w:cs="Times New Roman" w:eastAsia="Times New Roman" w:hAnsi="Times New Roman"/>
          <w:color w:val="2E2E2E"/>
          <w:sz w:val="22"/>
          <w:szCs w:val="22"/>
        </w:rPr>
        <w:t xml:space="preserve">Both sports reward the systematic technical development that Japanese sporting culture has proved adept at producing, with progression measured against defined standards rather than against opponents alone.</w:t>
      </w:r>
    </w:p>
    <w:p>
      <w:pPr>
        <w:spacing w:after="120" w:before="0" w:line="300"/>
        <w:jc w:val="both"/>
      </w:pPr>
      <w:r>
        <w:rPr>
          <w:rFonts w:ascii="Times New Roman" w:cs="Times New Roman" w:eastAsia="Times New Roman" w:hAnsi="Times New Roman"/>
          <w:color w:val="2E2E2E"/>
          <w:sz w:val="22"/>
          <w:szCs w:val="22"/>
        </w:rPr>
        <w:t xml:space="preserve">Home competition adds pressure as well as advantage in these disciplines, since a Japanese judoka losing in Japan draws attention that a comparable result abroad would not.</w:t>
      </w:r>
    </w:p>
    <w:p>
      <w:pPr>
        <w:spacing w:after="120" w:before="0" w:line="300"/>
        <w:jc w:val="both"/>
      </w:pPr>
      <w:r>
        <w:rPr>
          <w:rFonts w:ascii="Times New Roman" w:cs="Times New Roman" w:eastAsia="Times New Roman" w:hAnsi="Times New Roman"/>
          <w:color w:val="2E2E2E"/>
          <w:sz w:val="22"/>
          <w:szCs w:val="22"/>
        </w:rPr>
        <w:t xml:space="preserve">China and South Korea supply the strongest regional opposition in both sports, with Korean judo in particular having produced consistent challengers across the weight range.</w:t>
      </w:r>
    </w:p>
    <w:p>
      <w:pPr>
        <w:spacing w:after="120" w:before="0" w:line="300"/>
        <w:jc w:val="both"/>
      </w:pPr>
      <w:r>
        <w:rPr>
          <w:rFonts w:ascii="Times New Roman" w:cs="Times New Roman" w:eastAsia="Times New Roman" w:hAnsi="Times New Roman"/>
          <w:color w:val="2E2E2E"/>
          <w:sz w:val="22"/>
          <w:szCs w:val="22"/>
        </w:rPr>
        <w:t xml:space="preserve">The Asian Games medal table is shaped substantially by these high-event-count disciplines, which is why performance in them determines whether the host's overall count meets expectations.</w:t>
      </w:r>
    </w:p>
    <w:p>
      <w:pPr>
        <w:spacing w:after="120" w:before="0" w:line="300"/>
        <w:jc w:val="both"/>
      </w:pPr>
      <w:r>
        <w:rPr>
          <w:rFonts w:ascii="Times New Roman" w:cs="Times New Roman" w:eastAsia="Times New Roman" w:hAnsi="Times New Roman"/>
          <w:color w:val="2E2E2E"/>
          <w:sz w:val="22"/>
          <w:szCs w:val="22"/>
        </w:rPr>
        <w:t xml:space="preserve">Selection for the Games in both sports reflected internal competition that is itself among the fiercest in the world, with the domestic depth chart in judo frequently deeper than the international field.</w:t>
      </w:r>
    </w:p>
    <w:p>
      <w:pPr>
        <w:spacing w:after="120" w:before="0" w:line="300"/>
        <w:jc w:val="both"/>
      </w:pPr>
      <w:r>
        <w:rPr>
          <w:rFonts w:ascii="Times New Roman" w:cs="Times New Roman" w:eastAsia="Times New Roman" w:hAnsi="Times New Roman"/>
          <w:color w:val="2E2E2E"/>
          <w:sz w:val="22"/>
          <w:szCs w:val="22"/>
        </w:rPr>
        <w:t xml:space="preserve">Results across the coming days will indicate whether the host nation's medal projections were calibrated correctly.</w:t>
      </w:r>
    </w:p>
    <w:p>
      <w:pPr>
        <w:spacing w:after="200" w:before="40"/>
        <w:jc w:val="right"/>
      </w:pPr>
      <w:r>
        <w:rPr>
          <w:rFonts w:ascii="Helvetica" w:cs="Helvetica" w:eastAsia="Helvetica" w:hAnsi="Helvetica"/>
          <w:i/>
          <w:iCs/>
          <w:color w:val="888888"/>
          <w:sz w:val="16"/>
          <w:szCs w:val="16"/>
        </w:rPr>
        <w:t xml:space="preserve">[265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the Aki Basho's Second Week Will Decide</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A sumo tournament's first week establishes who is in form. The second decides the championship, because it is when the scheduling convention brings the top-ranked wrestlers into direct contact.</w:t>
      </w:r>
    </w:p>
    <w:p>
      <w:pPr>
        <w:spacing w:after="120" w:before="0" w:line="300"/>
        <w:jc w:val="both"/>
      </w:pPr>
      <w:r>
        <w:rPr>
          <w:rFonts w:ascii="Times New Roman" w:cs="Times New Roman" w:eastAsia="Times New Roman" w:hAnsi="Times New Roman"/>
          <w:color w:val="2E2E2E"/>
          <w:sz w:val="22"/>
          <w:szCs w:val="22"/>
        </w:rPr>
        <w:t xml:space="preserve">Through the opening days, yokozuna and ozeki face opponents ranked below them, a structure that lets the field sort itself before the decisive matchups are made.</w:t>
      </w:r>
    </w:p>
    <w:p>
      <w:pPr>
        <w:spacing w:after="120" w:before="0" w:line="300"/>
        <w:jc w:val="both"/>
      </w:pPr>
      <w:r>
        <w:rPr>
          <w:rFonts w:ascii="Times New Roman" w:cs="Times New Roman" w:eastAsia="Times New Roman" w:hAnsi="Times New Roman"/>
          <w:color w:val="2E2E2E"/>
          <w:sz w:val="22"/>
          <w:szCs w:val="22"/>
        </w:rPr>
        <w:t xml:space="preserve">That is why the unbeaten records reported at the top of the banzuke establish competence rather than superiority. No one has yet lost to a lower-ranked opponent, which is expected, and no one has yet faced a peer.</w:t>
      </w:r>
    </w:p>
    <w:p>
      <w:pPr>
        <w:spacing w:after="120" w:before="0" w:line="300"/>
        <w:jc w:val="both"/>
      </w:pPr>
      <w:r>
        <w:rPr>
          <w:rFonts w:ascii="Times New Roman" w:cs="Times New Roman" w:eastAsia="Times New Roman" w:hAnsi="Times New Roman"/>
          <w:color w:val="2E2E2E"/>
          <w:sz w:val="22"/>
          <w:szCs w:val="22"/>
        </w:rPr>
        <w:t xml:space="preserve">From roughly the tenth day, the schedulers begin pairing the leaders. A wrestler unbeaten through nine days may face two or three of the other leaders in the closing week, and the championship typically turns on those bouts.</w:t>
      </w:r>
    </w:p>
    <w:p>
      <w:pPr>
        <w:spacing w:after="120" w:before="0" w:line="300"/>
        <w:jc w:val="both"/>
      </w:pPr>
      <w:r>
        <w:rPr>
          <w:rFonts w:ascii="Times New Roman" w:cs="Times New Roman" w:eastAsia="Times New Roman" w:hAnsi="Times New Roman"/>
          <w:color w:val="2E2E2E"/>
          <w:sz w:val="22"/>
          <w:szCs w:val="22"/>
        </w:rPr>
        <w:t xml:space="preserve">Aonishiki's return to ozeki after a 12-3 finish at sekiwake makes his second-week schedule the one drawing most attention, since it will pit him against the two yokozuna whose ranks he is pursuing.</w:t>
      </w:r>
    </w:p>
    <w:p>
      <w:pPr>
        <w:spacing w:after="120" w:before="0" w:line="300"/>
        <w:jc w:val="both"/>
      </w:pPr>
      <w:r>
        <w:rPr>
          <w:rFonts w:ascii="Times New Roman" w:cs="Times New Roman" w:eastAsia="Times New Roman" w:hAnsi="Times New Roman"/>
          <w:color w:val="2E2E2E"/>
          <w:sz w:val="22"/>
          <w:szCs w:val="22"/>
        </w:rPr>
        <w:t xml:space="preserve">His first top-division championship came on a playoff victory over Hoshoryu at Fukuoka in November 2025, a result that both wrestlers will carry into any rematch this tournament produces.</w:t>
      </w:r>
    </w:p>
    <w:p>
      <w:pPr>
        <w:spacing w:after="120" w:before="0" w:line="300"/>
        <w:jc w:val="both"/>
      </w:pPr>
      <w:r>
        <w:rPr>
          <w:rFonts w:ascii="Times New Roman" w:cs="Times New Roman" w:eastAsia="Times New Roman" w:hAnsi="Times New Roman"/>
          <w:color w:val="2E2E2E"/>
          <w:sz w:val="22"/>
          <w:szCs w:val="22"/>
        </w:rPr>
        <w:t xml:space="preserve">Onosato, the Japanese-born yokozuna, has the institutional expectations that attach to that rank and to that nationality, and a strong second week would consolidate a position that the rank itself makes precarious.</w:t>
      </w:r>
    </w:p>
    <w:p>
      <w:pPr>
        <w:spacing w:after="120" w:before="0" w:line="300"/>
        <w:jc w:val="both"/>
      </w:pPr>
      <w:r>
        <w:rPr>
          <w:rFonts w:ascii="Times New Roman" w:cs="Times New Roman" w:eastAsia="Times New Roman" w:hAnsi="Times New Roman"/>
          <w:color w:val="2E2E2E"/>
          <w:sz w:val="22"/>
          <w:szCs w:val="22"/>
        </w:rPr>
        <w:t xml:space="preserve">Should two wrestlers finish level on the fifteenth day, a playoff bout decides the Emperor's Cup, a scenario that has produced some of the sport's most memorable finishes.</w:t>
      </w:r>
    </w:p>
    <w:p>
      <w:pPr>
        <w:spacing w:after="120" w:before="0" w:line="300"/>
        <w:jc w:val="both"/>
      </w:pPr>
      <w:r>
        <w:rPr>
          <w:rFonts w:ascii="Times New Roman" w:cs="Times New Roman" w:eastAsia="Times New Roman" w:hAnsi="Times New Roman"/>
          <w:color w:val="2E2E2E"/>
          <w:sz w:val="22"/>
          <w:szCs w:val="22"/>
        </w:rPr>
        <w:t xml:space="preserve">Promotion consequences ride on the closing days as well. A championship or a near miss for Aonishiki would strengthen a yokozuna case that already rests on the fastest ascent to ozeki in modern sumo.</w:t>
      </w:r>
    </w:p>
    <w:p>
      <w:pPr>
        <w:spacing w:after="120" w:before="0" w:line="300"/>
        <w:jc w:val="both"/>
      </w:pPr>
      <w:r>
        <w:rPr>
          <w:rFonts w:ascii="Times New Roman" w:cs="Times New Roman" w:eastAsia="Times New Roman" w:hAnsi="Times New Roman"/>
          <w:color w:val="2E2E2E"/>
          <w:sz w:val="22"/>
          <w:szCs w:val="22"/>
        </w:rPr>
        <w:t xml:space="preserve">For lower-ranked wrestlers, the second week determines winning and losing records that set the next banzuke, stakes that are smaller in profile and no less real for those involved.</w:t>
      </w:r>
    </w:p>
    <w:p>
      <w:pPr>
        <w:spacing w:after="120" w:before="0" w:line="300"/>
        <w:jc w:val="both"/>
      </w:pPr>
      <w:r>
        <w:rPr>
          <w:rFonts w:ascii="Times New Roman" w:cs="Times New Roman" w:eastAsia="Times New Roman" w:hAnsi="Times New Roman"/>
          <w:color w:val="2E2E2E"/>
          <w:sz w:val="22"/>
          <w:szCs w:val="22"/>
        </w:rPr>
        <w:t xml:space="preserve">The tournament closes on the 27th, and the schedule between now and then is where the September basho will be remembered or not.</w:t>
      </w:r>
    </w:p>
    <w:p>
      <w:pPr>
        <w:spacing w:after="200" w:before="40"/>
        <w:jc w:val="right"/>
      </w:pPr>
      <w:r>
        <w:rPr>
          <w:rFonts w:ascii="Helvetica" w:cs="Helvetica" w:eastAsia="Helvetica" w:hAnsi="Helvetica"/>
          <w:i/>
          <w:iCs/>
          <w:color w:val="888888"/>
          <w:sz w:val="16"/>
          <w:szCs w:val="16"/>
        </w:rPr>
        <w:t xml:space="preserve">[339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Running a Games Across a Region: Aichi-Nagoya's Logistics Test</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Staging the Asian Games across the Aichi-Nagoya region rather than in a single city presents organisers with a logistical problem that the competition itself tends to obscure.</w:t>
      </w:r>
    </w:p>
    <w:p>
      <w:pPr>
        <w:spacing w:after="120" w:before="0" w:line="300"/>
        <w:jc w:val="both"/>
      </w:pPr>
      <w:r>
        <w:rPr>
          <w:rFonts w:ascii="Times New Roman" w:cs="Times New Roman" w:eastAsia="Times New Roman" w:hAnsi="Times New Roman"/>
          <w:color w:val="2E2E2E"/>
          <w:sz w:val="22"/>
          <w:szCs w:val="22"/>
        </w:rPr>
        <w:t xml:space="preserve">Venues distributed across a prefecture require transport arrangements for athletes, officials and spectators that a compact host city does not, and the schedule must accommodate travel time between them.</w:t>
      </w:r>
    </w:p>
    <w:p>
      <w:pPr>
        <w:spacing w:after="120" w:before="0" w:line="300"/>
        <w:jc w:val="both"/>
      </w:pPr>
      <w:r>
        <w:rPr>
          <w:rFonts w:ascii="Times New Roman" w:cs="Times New Roman" w:eastAsia="Times New Roman" w:hAnsi="Times New Roman"/>
          <w:color w:val="2E2E2E"/>
          <w:sz w:val="22"/>
          <w:szCs w:val="22"/>
        </w:rPr>
        <w:t xml:space="preserve">Aichi's advantage lies in an existing transport network built around one of Japan's densest industrial regions, with rail and road infrastructure designed for manufacturing logistics rather than for a fortnight of sport.</w:t>
      </w:r>
    </w:p>
    <w:p>
      <w:pPr>
        <w:spacing w:after="120" w:before="0" w:line="300"/>
        <w:jc w:val="both"/>
      </w:pPr>
      <w:r>
        <w:rPr>
          <w:rFonts w:ascii="Times New Roman" w:cs="Times New Roman" w:eastAsia="Times New Roman" w:hAnsi="Times New Roman"/>
          <w:color w:val="2E2E2E"/>
          <w:sz w:val="22"/>
          <w:szCs w:val="22"/>
        </w:rPr>
        <w:t xml:space="preserve">The region's automotive industry, centred on Toyota's operations, gives it a supply of accommodation, catering and event-services capacity that a comparable prefecture without that base would lack.</w:t>
      </w:r>
    </w:p>
    <w:p>
      <w:pPr>
        <w:spacing w:after="120" w:before="0" w:line="300"/>
        <w:jc w:val="both"/>
      </w:pPr>
      <w:r>
        <w:rPr>
          <w:rFonts w:ascii="Times New Roman" w:cs="Times New Roman" w:eastAsia="Times New Roman" w:hAnsi="Times New Roman"/>
          <w:color w:val="2E2E2E"/>
          <w:sz w:val="22"/>
          <w:szCs w:val="22"/>
        </w:rPr>
        <w:t xml:space="preserve">Volunteer recruitment, security coordination across multiple municipalities and the management of an international media presence all fall to organising committees whose experience is drawn substantially from Japan's earlier hosting of major events.</w:t>
      </w:r>
    </w:p>
    <w:p>
      <w:pPr>
        <w:spacing w:after="120" w:before="0" w:line="300"/>
        <w:jc w:val="both"/>
      </w:pPr>
      <w:r>
        <w:rPr>
          <w:rFonts w:ascii="Times New Roman" w:cs="Times New Roman" w:eastAsia="Times New Roman" w:hAnsi="Times New Roman"/>
          <w:color w:val="2E2E2E"/>
          <w:sz w:val="22"/>
          <w:szCs w:val="22"/>
        </w:rPr>
        <w:t xml:space="preserve">The 1994 Hiroshima Games, Japan's last Asian Games, were staged in a different era of event management, and the intervening three decades have raised expectations for broadcast quality and spectator experience considerably.</w:t>
      </w:r>
    </w:p>
    <w:p>
      <w:pPr>
        <w:spacing w:after="120" w:before="0" w:line="300"/>
        <w:jc w:val="both"/>
      </w:pPr>
      <w:r>
        <w:rPr>
          <w:rFonts w:ascii="Times New Roman" w:cs="Times New Roman" w:eastAsia="Times New Roman" w:hAnsi="Times New Roman"/>
          <w:color w:val="2E2E2E"/>
          <w:sz w:val="22"/>
          <w:szCs w:val="22"/>
        </w:rPr>
        <w:t xml:space="preserve">Ticketing across dozens of venues and sports requires a system capable of handling demand that concentrates on marquee events while spreading across many that draw modest crowds.</w:t>
      </w:r>
    </w:p>
    <w:p>
      <w:pPr>
        <w:spacing w:after="120" w:before="0" w:line="300"/>
        <w:jc w:val="both"/>
      </w:pPr>
      <w:r>
        <w:rPr>
          <w:rFonts w:ascii="Times New Roman" w:cs="Times New Roman" w:eastAsia="Times New Roman" w:hAnsi="Times New Roman"/>
          <w:color w:val="2E2E2E"/>
          <w:sz w:val="22"/>
          <w:szCs w:val="22"/>
        </w:rPr>
        <w:t xml:space="preserve">Weather introduces its own variable, with the autumn front now stalled over Honshu bringing rain to the region during the competition's opening days.</w:t>
      </w:r>
    </w:p>
    <w:p>
      <w:pPr>
        <w:spacing w:after="120" w:before="0" w:line="300"/>
        <w:jc w:val="both"/>
      </w:pPr>
      <w:r>
        <w:rPr>
          <w:rFonts w:ascii="Times New Roman" w:cs="Times New Roman" w:eastAsia="Times New Roman" w:hAnsi="Times New Roman"/>
          <w:color w:val="2E2E2E"/>
          <w:sz w:val="22"/>
          <w:szCs w:val="22"/>
        </w:rPr>
        <w:t xml:space="preserve">Legacy considerations shape venue decisions, with organisers under pressure to demonstrate that facilities built or upgraded for the Games will find use afterward.</w:t>
      </w:r>
    </w:p>
    <w:p>
      <w:pPr>
        <w:spacing w:after="120" w:before="0" w:line="300"/>
        <w:jc w:val="both"/>
      </w:pPr>
      <w:r>
        <w:rPr>
          <w:rFonts w:ascii="Times New Roman" w:cs="Times New Roman" w:eastAsia="Times New Roman" w:hAnsi="Times New Roman"/>
          <w:color w:val="2E2E2E"/>
          <w:sz w:val="22"/>
          <w:szCs w:val="22"/>
        </w:rPr>
        <w:t xml:space="preserve">The Japan Sport Council's athlete support base, unveiled ahead of the Games, is one visible element of a host-nation infrastructure intended to translate home advantage into results.</w:t>
      </w:r>
    </w:p>
    <w:p>
      <w:pPr>
        <w:spacing w:after="120" w:before="0" w:line="300"/>
        <w:jc w:val="both"/>
      </w:pPr>
      <w:r>
        <w:rPr>
          <w:rFonts w:ascii="Times New Roman" w:cs="Times New Roman" w:eastAsia="Times New Roman" w:hAnsi="Times New Roman"/>
          <w:color w:val="2E2E2E"/>
          <w:sz w:val="22"/>
          <w:szCs w:val="22"/>
        </w:rPr>
        <w:t xml:space="preserve">How smoothly the region manages the competition's middle period, once the opening ceremony's attention has passed, will be the practical measure of the organising effort.</w:t>
      </w:r>
    </w:p>
    <w:p>
      <w:pPr>
        <w:spacing w:after="200" w:before="40"/>
        <w:jc w:val="right"/>
      </w:pPr>
      <w:r>
        <w:rPr>
          <w:rFonts w:ascii="Helvetica" w:cs="Helvetica" w:eastAsia="Helvetica" w:hAnsi="Helvetica"/>
          <w:i/>
          <w:iCs/>
          <w:color w:val="888888"/>
          <w:sz w:val="16"/>
          <w:szCs w:val="16"/>
        </w:rPr>
        <w:t xml:space="preserve">[304 words]</w:t>
      </w:r>
    </w:p>
    <w:p>
      <w:pPr>
        <w:shd w:fill="0D1B2A" w:color="auto" w:val="clear"/>
        <w:spacing w:after="160" w:before="300"/>
        <w:jc w:val="center"/>
      </w:pPr>
      <w:r>
        <w:rPr>
          <w:rFonts w:ascii="Helvetica" w:cs="Helvetica" w:eastAsia="Helvetica" w:hAnsi="Helvetica"/>
          <w:b/>
          <w:bCs/>
          <w:color w:val="FFFFFF"/>
          <w:sz w:val="24"/>
          <w:szCs w:val="24"/>
        </w:rPr>
        <w:t xml:space="preserve">— TECHNOLOGY —</w:t>
      </w:r>
    </w:p>
    <w:p>
      <w:pPr>
        <w:pBdr>
          <w:top w:val="thick" w:color="9B1B2A" w:sz="18"/>
        </w:pBdr>
        <w:spacing w:after="80" w:before="160"/>
      </w:pPr>
      <w:r>
        <w:rPr>
          <w:rFonts w:ascii="Times New Roman" w:cs="Times New Roman" w:eastAsia="Times New Roman" w:hAnsi="Times New Roman"/>
          <w:b/>
          <w:bCs/>
          <w:color w:val="0D1B2A"/>
          <w:sz w:val="40"/>
          <w:szCs w:val="40"/>
        </w:rPr>
        <w:t xml:space="preserve">Anthropic Chief Joins Call to Slow AI Development, Citing Self-Improvement Risk</w:t>
      </w:r>
    </w:p>
    <w:p>
      <w:pPr>
        <w:spacing w:after="40" w:before="40"/>
      </w:pPr>
      <w:r>
        <w:rPr>
          <w:rFonts w:ascii="Times New Roman" w:cs="Times New Roman" w:eastAsia="Times New Roman" w:hAnsi="Times New Roman"/>
          <w:i/>
          <w:iCs/>
          <w:color w:val="9B1B2A"/>
          <w:sz w:val="22"/>
          <w:szCs w:val="22"/>
        </w:rPr>
        <w:t xml:space="preserve">The warning traces to a July cyberattack incident. President Trump has cautioned against regulatory measures in response</w:t>
      </w:r>
    </w:p>
    <w:p>
      <w:pPr>
        <w:pBdr>
          <w:bottom w:val="single" w:color="CCCCCC" w:sz="4"/>
        </w:pBdr>
        <w:spacing w:after="120" w:before="40"/>
      </w:pPr>
      <w:r>
        <w:rPr>
          <w:rFonts w:ascii="Helvetica" w:cs="Helvetica" w:eastAsia="Helvetica" w:hAnsi="Helvetica"/>
          <w:i/>
          <w:iCs/>
          <w:color w:val="888888"/>
          <w:sz w:val="18"/>
          <w:szCs w:val="18"/>
        </w:rPr>
        <w:t xml:space="preserve">By Ethan Cole | Technology and Science Editor</w:t>
      </w:r>
    </w:p>
    <w:p>
      <w:pPr>
        <w:spacing w:after="120" w:before="0" w:line="300"/>
        <w:jc w:val="both"/>
      </w:pPr>
      <w:r>
        <w:rPr>
          <w:rFonts w:ascii="Times New Roman" w:cs="Times New Roman" w:eastAsia="Times New Roman" w:hAnsi="Times New Roman"/>
          <w:color w:val="2E2E2E"/>
          <w:sz w:val="22"/>
          <w:szCs w:val="22"/>
        </w:rPr>
        <w:t xml:space="preserve">Anthropic's chief executive and others have called for a slowdown in artificial intelligence development, with the sense of crisis centring on systems capable of self-improvement and stemming from a cyberattack incident in July, according to Asahi Shimbun, Yomiuri Shimbun and Sankei Shimbun. President Donald Trump has cautioned against regulatory measures.</w:t>
      </w:r>
    </w:p>
    <w:p>
      <w:pPr>
        <w:spacing w:after="120" w:before="0" w:line="300"/>
        <w:jc w:val="both"/>
      </w:pPr>
      <w:r>
        <w:rPr>
          <w:rFonts w:ascii="Times New Roman" w:cs="Times New Roman" w:eastAsia="Times New Roman" w:hAnsi="Times New Roman"/>
          <w:color w:val="2E2E2E"/>
          <w:sz w:val="22"/>
          <w:szCs w:val="22"/>
        </w:rPr>
        <w:t xml:space="preserve">The specific concern named is self-improvement, and it is a narrower claim than the general unease that usually travels under the heading of AI risk. A system that can improve its own capabilities compresses the interval between a capability existing and anyone outside the lab understanding that it exists.</w:t>
      </w:r>
    </w:p>
    <w:p>
      <w:pPr>
        <w:spacing w:after="120" w:before="0" w:line="300"/>
        <w:jc w:val="both"/>
      </w:pPr>
      <w:r>
        <w:rPr>
          <w:rFonts w:ascii="Times New Roman" w:cs="Times New Roman" w:eastAsia="Times New Roman" w:hAnsi="Times New Roman"/>
          <w:color w:val="2E2E2E"/>
          <w:sz w:val="22"/>
          <w:szCs w:val="22"/>
        </w:rPr>
        <w:t xml:space="preserve">That the warning traces to a concrete July cyberattack rather than to a theoretical scenario changes its character. Arguments grounded in a demonstrated incident are harder to dismiss as speculation, and they give regulators something specific to examine.</w:t>
      </w:r>
    </w:p>
    <w:p>
      <w:pPr>
        <w:spacing w:after="120" w:before="0" w:line="300"/>
        <w:jc w:val="both"/>
      </w:pPr>
      <w:r>
        <w:rPr>
          <w:rFonts w:ascii="Times New Roman" w:cs="Times New Roman" w:eastAsia="Times New Roman" w:hAnsi="Times New Roman"/>
          <w:color w:val="2E2E2E"/>
          <w:sz w:val="22"/>
          <w:szCs w:val="22"/>
        </w:rPr>
        <w:t xml:space="preserve">Trump's caution against regulatory measures restates the position that has defined the administration's AI posture: that American competitiveness against China is the paramount consideration, and that constraints risk ceding advantage to a rival operating under none.</w:t>
      </w:r>
    </w:p>
    <w:p>
      <w:pPr>
        <w:spacing w:after="120" w:before="0" w:line="300"/>
        <w:jc w:val="both"/>
      </w:pPr>
      <w:r>
        <w:rPr>
          <w:rFonts w:ascii="Times New Roman" w:cs="Times New Roman" w:eastAsia="Times New Roman" w:hAnsi="Times New Roman"/>
          <w:color w:val="2E2E2E"/>
          <w:sz w:val="22"/>
          <w:szCs w:val="22"/>
        </w:rPr>
        <w:t xml:space="preserve">The disagreement is genuine and does not reduce to good faith versus bad. One side holds that the safety-conscious developer must remain at the frontier to influence it. The other holds that pace itself is the hazard, and that staying at the frontier while worrying about it does not address the problem.</w:t>
      </w:r>
    </w:p>
    <w:p>
      <w:pPr>
        <w:spacing w:after="120" w:before="0" w:line="300"/>
        <w:jc w:val="both"/>
      </w:pPr>
      <w:r>
        <w:rPr>
          <w:rFonts w:ascii="Times New Roman" w:cs="Times New Roman" w:eastAsia="Times New Roman" w:hAnsi="Times New Roman"/>
          <w:color w:val="2E2E2E"/>
          <w:sz w:val="22"/>
          <w:szCs w:val="22"/>
        </w:rPr>
        <w:t xml:space="preserve">Markets supplied their own commentary Monday. The slowdown call, arriving alongside reports of OpenAI's postponed listing, contributed to a sharp decline in AI and semiconductor shares in Tokyo, with SoftBank Group down more than 10% at one point.</w:t>
      </w:r>
    </w:p>
    <w:p>
      <w:pPr>
        <w:spacing w:after="120" w:before="0" w:line="300"/>
        <w:jc w:val="both"/>
      </w:pPr>
      <w:r>
        <w:rPr>
          <w:rFonts w:ascii="Times New Roman" w:cs="Times New Roman" w:eastAsia="Times New Roman" w:hAnsi="Times New Roman"/>
          <w:color w:val="2E2E2E"/>
          <w:sz w:val="22"/>
          <w:szCs w:val="22"/>
        </w:rPr>
        <w:t xml:space="preserve">Japan's own AI policy has favoured guidance over binding statute, a posture that leaves Tokyo positioned between the European Union's regulatory model and Washington's current reluctance, and that becomes harder to hold if frontier developers themselves begin asking for restraint.</w:t>
      </w:r>
    </w:p>
    <w:p>
      <w:pPr>
        <w:spacing w:after="120" w:before="0" w:line="300"/>
        <w:jc w:val="both"/>
      </w:pPr>
      <w:r>
        <w:rPr>
          <w:rFonts w:ascii="Times New Roman" w:cs="Times New Roman" w:eastAsia="Times New Roman" w:hAnsi="Times New Roman"/>
          <w:color w:val="2E2E2E"/>
          <w:sz w:val="22"/>
          <w:szCs w:val="22"/>
        </w:rPr>
        <w:t xml:space="preserve">An executive at a leading laboratory calling for a slowdown is not a routine event, whatever one concludes about the merits, since the commercial incentive runs entirely the other way.</w:t>
      </w:r>
    </w:p>
    <w:p>
      <w:pPr>
        <w:spacing w:after="120" w:before="0" w:line="300"/>
        <w:jc w:val="both"/>
      </w:pPr>
      <w:r>
        <w:rPr>
          <w:rFonts w:ascii="Times New Roman" w:cs="Times New Roman" w:eastAsia="Times New Roman" w:hAnsi="Times New Roman"/>
          <w:color w:val="2E2E2E"/>
          <w:sz w:val="22"/>
          <w:szCs w:val="22"/>
        </w:rPr>
        <w:t xml:space="preserve">Self-improvement in this context refers to systems capable of contributing materially to the development of their own successors, whether by writing code, designing training procedures or identifying their own capability gaps.</w:t>
      </w:r>
    </w:p>
    <w:p>
      <w:pPr>
        <w:spacing w:after="120" w:before="0" w:line="300"/>
        <w:jc w:val="both"/>
      </w:pPr>
      <w:r>
        <w:rPr>
          <w:rFonts w:ascii="Times New Roman" w:cs="Times New Roman" w:eastAsia="Times New Roman" w:hAnsi="Times New Roman"/>
          <w:color w:val="2E2E2E"/>
          <w:sz w:val="22"/>
          <w:szCs w:val="22"/>
        </w:rPr>
        <w:t xml:space="preserve">The concern such capability raises is not that a system becomes hostile but that the interval between a capability emerging and anyone outside the developing organisation understanding it compresses to the point where external oversight cannot keep pace.</w:t>
      </w:r>
    </w:p>
    <w:p>
      <w:pPr>
        <w:spacing w:after="120" w:before="0" w:line="300"/>
        <w:jc w:val="both"/>
      </w:pPr>
      <w:r>
        <w:rPr>
          <w:rFonts w:ascii="Times New Roman" w:cs="Times New Roman" w:eastAsia="Times New Roman" w:hAnsi="Times New Roman"/>
          <w:color w:val="2E2E2E"/>
          <w:sz w:val="22"/>
          <w:szCs w:val="22"/>
        </w:rPr>
        <w:t xml:space="preserve">That a specific cyberattack in July anchors the warning gives regulators something concrete to examine, which distinguishes it from the scenario-based arguments that have dominated AI risk discussion.</w:t>
      </w:r>
    </w:p>
    <w:p>
      <w:pPr>
        <w:spacing w:after="120" w:before="0" w:line="300"/>
        <w:jc w:val="both"/>
      </w:pPr>
      <w:r>
        <w:rPr>
          <w:rFonts w:ascii="Times New Roman" w:cs="Times New Roman" w:eastAsia="Times New Roman" w:hAnsi="Times New Roman"/>
          <w:color w:val="2E2E2E"/>
          <w:sz w:val="22"/>
          <w:szCs w:val="22"/>
        </w:rPr>
        <w:t xml:space="preserve">The competitive objection to any slowdown is straightforward and has not become less forceful. A pause observed only by developers who can be held to it does not reduce global capability; it redistributes who holds it.</w:t>
      </w:r>
    </w:p>
    <w:p>
      <w:pPr>
        <w:spacing w:after="120" w:before="0" w:line="300"/>
        <w:jc w:val="both"/>
      </w:pPr>
      <w:r>
        <w:rPr>
          <w:rFonts w:ascii="Times New Roman" w:cs="Times New Roman" w:eastAsia="Times New Roman" w:hAnsi="Times New Roman"/>
          <w:color w:val="2E2E2E"/>
          <w:sz w:val="22"/>
          <w:szCs w:val="22"/>
        </w:rPr>
        <w:t xml:space="preserve">The counterargument from the safety side is that capability accruing faster than the tools to evaluate it produces risk regardless of who holds it, and that competitive pressure is the mechanism driving the pace rather than a reason to accept it.</w:t>
      </w:r>
    </w:p>
    <w:p>
      <w:pPr>
        <w:spacing w:after="120" w:before="0" w:line="300"/>
        <w:jc w:val="both"/>
      </w:pPr>
      <w:r>
        <w:rPr>
          <w:rFonts w:ascii="Times New Roman" w:cs="Times New Roman" w:eastAsia="Times New Roman" w:hAnsi="Times New Roman"/>
          <w:color w:val="2E2E2E"/>
          <w:sz w:val="22"/>
          <w:szCs w:val="22"/>
        </w:rPr>
        <w:t xml:space="preserve">Neither position is obviously unreasonable, which is why the disagreement has persisted among people with access to the same information.</w:t>
      </w:r>
    </w:p>
    <w:p>
      <w:pPr>
        <w:spacing w:after="120" w:before="0" w:line="300"/>
        <w:jc w:val="both"/>
      </w:pPr>
      <w:r>
        <w:rPr>
          <w:rFonts w:ascii="Times New Roman" w:cs="Times New Roman" w:eastAsia="Times New Roman" w:hAnsi="Times New Roman"/>
          <w:color w:val="2E2E2E"/>
          <w:sz w:val="22"/>
          <w:szCs w:val="22"/>
        </w:rPr>
        <w:t xml:space="preserve">Regulators in most jurisdictions lack the technical capacity to evaluate frontier systems independently, which leaves them reliant on developer disclosure, an arrangement that works only so far as developers are candid about what they have built.</w:t>
      </w:r>
    </w:p>
    <w:p>
      <w:pPr>
        <w:spacing w:after="120" w:before="0" w:line="300"/>
        <w:jc w:val="both"/>
      </w:pPr>
      <w:r>
        <w:rPr>
          <w:rFonts w:ascii="Times New Roman" w:cs="Times New Roman" w:eastAsia="Times New Roman" w:hAnsi="Times New Roman"/>
          <w:color w:val="2E2E2E"/>
          <w:sz w:val="22"/>
          <w:szCs w:val="22"/>
        </w:rPr>
        <w:t xml:space="preserve">Frontier laboratories publish safety frameworks setting out the capability thresholds at which they commit to additional precautions, voluntary arrangements whose enforcement rests entirely with the companies that wrote them.</w:t>
      </w:r>
    </w:p>
    <w:p>
      <w:pPr>
        <w:spacing w:after="120" w:before="0" w:line="300"/>
        <w:jc w:val="both"/>
      </w:pPr>
      <w:r>
        <w:rPr>
          <w:rFonts w:ascii="Times New Roman" w:cs="Times New Roman" w:eastAsia="Times New Roman" w:hAnsi="Times New Roman"/>
          <w:color w:val="2E2E2E"/>
          <w:sz w:val="22"/>
          <w:szCs w:val="22"/>
        </w:rPr>
        <w:t xml:space="preserve">Critics have noted that self-imposed thresholds can be revised by the same organisation that set them, which is the structural weakness any voluntary regime carries.</w:t>
      </w:r>
    </w:p>
    <w:p>
      <w:pPr>
        <w:spacing w:after="120" w:before="0" w:line="300"/>
        <w:jc w:val="both"/>
      </w:pPr>
      <w:r>
        <w:rPr>
          <w:rFonts w:ascii="Times New Roman" w:cs="Times New Roman" w:eastAsia="Times New Roman" w:hAnsi="Times New Roman"/>
          <w:color w:val="2E2E2E"/>
          <w:sz w:val="22"/>
          <w:szCs w:val="22"/>
        </w:rPr>
        <w:t xml:space="preserve">Defenders respond that binding regulation written by bodies without technical capacity would be worse, addressing yesterday's systems while the frontier moves past them.</w:t>
      </w:r>
    </w:p>
    <w:p>
      <w:pPr>
        <w:spacing w:after="200" w:before="40"/>
        <w:jc w:val="right"/>
      </w:pPr>
      <w:r>
        <w:rPr>
          <w:rFonts w:ascii="Helvetica" w:cs="Helvetica" w:eastAsia="Helvetica" w:hAnsi="Helvetica"/>
          <w:i/>
          <w:iCs/>
          <w:color w:val="888888"/>
          <w:sz w:val="16"/>
          <w:szCs w:val="16"/>
        </w:rPr>
        <w:t xml:space="preserve">[640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Tokyo University of Science and MIT Sign Cooperation Agreement</w:t>
      </w:r>
    </w:p>
    <w:p>
      <w:pPr>
        <w:pBdr>
          <w:bottom w:val="single" w:color="CCCCCC" w:sz="4"/>
        </w:pBdr>
        <w:spacing w:after="120" w:before="40"/>
      </w:pPr>
      <w:r>
        <w:rPr>
          <w:rFonts w:ascii="Helvetica" w:cs="Helvetica" w:eastAsia="Helvetica" w:hAnsi="Helvetica"/>
          <w:i/>
          <w:iCs/>
          <w:color w:val="888888"/>
          <w:sz w:val="18"/>
          <w:szCs w:val="18"/>
        </w:rPr>
        <w:t xml:space="preserve">By Maya Suzuki | Science &amp; Innovation Desk</w:t>
      </w:r>
    </w:p>
    <w:p>
      <w:pPr>
        <w:spacing w:after="120" w:before="0" w:line="300"/>
        <w:jc w:val="both"/>
      </w:pPr>
      <w:r>
        <w:rPr>
          <w:rFonts w:ascii="Times New Roman" w:cs="Times New Roman" w:eastAsia="Times New Roman" w:hAnsi="Times New Roman"/>
          <w:color w:val="2E2E2E"/>
          <w:sz w:val="22"/>
          <w:szCs w:val="22"/>
        </w:rPr>
        <w:t xml:space="preserve">Tokyo University of Science and the Massachusetts Institute of Technology have signed a cooperation agreement, according to Yomiuri Shimbun, formalising a partnership between one of Japan's established science and engineering institutions and an American university with few peers in the field.</w:t>
      </w:r>
    </w:p>
    <w:p>
      <w:pPr>
        <w:spacing w:after="120" w:before="0" w:line="300"/>
        <w:jc w:val="both"/>
      </w:pPr>
      <w:r>
        <w:rPr>
          <w:rFonts w:ascii="Times New Roman" w:cs="Times New Roman" w:eastAsia="Times New Roman" w:hAnsi="Times New Roman"/>
          <w:color w:val="2E2E2E"/>
          <w:sz w:val="22"/>
          <w:szCs w:val="22"/>
        </w:rPr>
        <w:t xml:space="preserve">Agreements of this kind typically cover researcher exchange, joint projects and student mobility, and their practical value depends almost entirely on whether funded activity follows the signing ceremony.</w:t>
      </w:r>
    </w:p>
    <w:p>
      <w:pPr>
        <w:spacing w:after="120" w:before="0" w:line="300"/>
        <w:jc w:val="both"/>
      </w:pPr>
      <w:r>
        <w:rPr>
          <w:rFonts w:ascii="Times New Roman" w:cs="Times New Roman" w:eastAsia="Times New Roman" w:hAnsi="Times New Roman"/>
          <w:color w:val="2E2E2E"/>
          <w:sz w:val="22"/>
          <w:szCs w:val="22"/>
        </w:rPr>
        <w:t xml:space="preserve">Japanese universities have pursued international partnerships with increasing urgency as domestic research output has faced sustained criticism for declining international standing, particularly in the citation metrics that shape global rankings.</w:t>
      </w:r>
    </w:p>
    <w:p>
      <w:pPr>
        <w:spacing w:after="120" w:before="0" w:line="300"/>
        <w:jc w:val="both"/>
      </w:pPr>
      <w:r>
        <w:rPr>
          <w:rFonts w:ascii="Times New Roman" w:cs="Times New Roman" w:eastAsia="Times New Roman" w:hAnsi="Times New Roman"/>
          <w:color w:val="2E2E2E"/>
          <w:sz w:val="22"/>
          <w:szCs w:val="22"/>
        </w:rPr>
        <w:t xml:space="preserve">The structural pressures behind that decline are well documented: flat research funding, a shortage of stable early-career positions and administrative burdens that consume researcher time, none of which a partnership agreement addresses directly.</w:t>
      </w:r>
    </w:p>
    <w:p>
      <w:pPr>
        <w:spacing w:after="120" w:before="0" w:line="300"/>
        <w:jc w:val="both"/>
      </w:pPr>
      <w:r>
        <w:rPr>
          <w:rFonts w:ascii="Times New Roman" w:cs="Times New Roman" w:eastAsia="Times New Roman" w:hAnsi="Times New Roman"/>
          <w:color w:val="2E2E2E"/>
          <w:sz w:val="22"/>
          <w:szCs w:val="22"/>
        </w:rPr>
        <w:t xml:space="preserve">What such agreements can do is give individual researchers access to collaborators, equipment and doctoral candidates they would not otherwise reach, which is where the genuine returns tend to accumulate.</w:t>
      </w:r>
    </w:p>
    <w:p>
      <w:pPr>
        <w:spacing w:after="120" w:before="0" w:line="300"/>
        <w:jc w:val="both"/>
      </w:pPr>
      <w:r>
        <w:rPr>
          <w:rFonts w:ascii="Times New Roman" w:cs="Times New Roman" w:eastAsia="Times New Roman" w:hAnsi="Times New Roman"/>
          <w:color w:val="2E2E2E"/>
          <w:sz w:val="22"/>
          <w:szCs w:val="22"/>
        </w:rPr>
        <w:t xml:space="preserve">Tokyo University of Science carries a strong reputation in applied science and engineering, making MIT a natural counterpart in fields where both institutions maintain substantial programmes.</w:t>
      </w:r>
    </w:p>
    <w:p>
      <w:pPr>
        <w:spacing w:after="120" w:before="0" w:line="300"/>
        <w:jc w:val="both"/>
      </w:pPr>
      <w:r>
        <w:rPr>
          <w:rFonts w:ascii="Times New Roman" w:cs="Times New Roman" w:eastAsia="Times New Roman" w:hAnsi="Times New Roman"/>
          <w:color w:val="2E2E2E"/>
          <w:sz w:val="22"/>
          <w:szCs w:val="22"/>
        </w:rPr>
        <w:t xml:space="preserve">International research partnerships have become a standard instrument of Japanese university strategy, pursued partly for their research value and partly for the internationalisation metrics that influence institutional rankings.</w:t>
      </w:r>
    </w:p>
    <w:p>
      <w:pPr>
        <w:spacing w:after="120" w:before="0" w:line="300"/>
        <w:jc w:val="both"/>
      </w:pPr>
      <w:r>
        <w:rPr>
          <w:rFonts w:ascii="Times New Roman" w:cs="Times New Roman" w:eastAsia="Times New Roman" w:hAnsi="Times New Roman"/>
          <w:color w:val="2E2E2E"/>
          <w:sz w:val="22"/>
          <w:szCs w:val="22"/>
        </w:rPr>
        <w:t xml:space="preserve">Japan's research output has faced sustained criticism for declining international standing, with the country's share of highly cited publications falling over two decades despite continued substantial spending.</w:t>
      </w:r>
    </w:p>
    <w:p>
      <w:pPr>
        <w:spacing w:after="120" w:before="0" w:line="300"/>
        <w:jc w:val="both"/>
      </w:pPr>
      <w:r>
        <w:rPr>
          <w:rFonts w:ascii="Times New Roman" w:cs="Times New Roman" w:eastAsia="Times New Roman" w:hAnsi="Times New Roman"/>
          <w:color w:val="2E2E2E"/>
          <w:sz w:val="22"/>
          <w:szCs w:val="22"/>
        </w:rPr>
        <w:t xml:space="preserve">The diagnoses offered generally converge on structural factors: flat competitive funding, a scarcity of stable early-career positions, and administrative burdens that consume time researchers would otherwise spend on research.</w:t>
      </w:r>
    </w:p>
    <w:p>
      <w:pPr>
        <w:spacing w:after="120" w:before="0" w:line="300"/>
        <w:jc w:val="both"/>
      </w:pPr>
      <w:r>
        <w:rPr>
          <w:rFonts w:ascii="Times New Roman" w:cs="Times New Roman" w:eastAsia="Times New Roman" w:hAnsi="Times New Roman"/>
          <w:color w:val="2E2E2E"/>
          <w:sz w:val="22"/>
          <w:szCs w:val="22"/>
        </w:rPr>
        <w:t xml:space="preserve">Doctoral enrolment has fallen in Japan even as it has risen elsewhere, a trend attributed to weak employment prospects for graduates outside academia and to the opportunity cost of extended study.</w:t>
      </w:r>
    </w:p>
    <w:p>
      <w:pPr>
        <w:spacing w:after="120" w:before="0" w:line="300"/>
        <w:jc w:val="both"/>
      </w:pPr>
      <w:r>
        <w:rPr>
          <w:rFonts w:ascii="Times New Roman" w:cs="Times New Roman" w:eastAsia="Times New Roman" w:hAnsi="Times New Roman"/>
          <w:color w:val="2E2E2E"/>
          <w:sz w:val="22"/>
          <w:szCs w:val="22"/>
        </w:rPr>
        <w:t xml:space="preserve">Partnerships with institutions abroad can supply individual researchers with collaborators and facilities, but they do not address the domestic conditions that produce the underlying trend.</w:t>
      </w:r>
    </w:p>
    <w:p>
      <w:pPr>
        <w:spacing w:after="120" w:before="0" w:line="300"/>
        <w:jc w:val="both"/>
      </w:pPr>
      <w:r>
        <w:rPr>
          <w:rFonts w:ascii="Times New Roman" w:cs="Times New Roman" w:eastAsia="Times New Roman" w:hAnsi="Times New Roman"/>
          <w:color w:val="2E2E2E"/>
          <w:sz w:val="22"/>
          <w:szCs w:val="22"/>
        </w:rPr>
        <w:t xml:space="preserve">Where such agreements have delivered most reliably is in student mobility, giving Japanese graduate students exposure to research cultures that operate differently from their own.</w:t>
      </w:r>
    </w:p>
    <w:p>
      <w:pPr>
        <w:spacing w:after="200" w:before="40"/>
        <w:jc w:val="right"/>
      </w:pPr>
      <w:r>
        <w:rPr>
          <w:rFonts w:ascii="Helvetica" w:cs="Helvetica" w:eastAsia="Helvetica" w:hAnsi="Helvetica"/>
          <w:i/>
          <w:iCs/>
          <w:color w:val="888888"/>
          <w:sz w:val="16"/>
          <w:szCs w:val="16"/>
        </w:rPr>
        <w:t xml:space="preserve">[353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Japan's Light-Touch AI Stance Meets a Slowdown Call From the Frontier</w:t>
      </w:r>
    </w:p>
    <w:p>
      <w:pPr>
        <w:pBdr>
          <w:bottom w:val="single" w:color="CCCCCC" w:sz="4"/>
        </w:pBdr>
        <w:spacing w:after="120" w:before="40"/>
      </w:pPr>
      <w:r>
        <w:rPr>
          <w:rFonts w:ascii="Helvetica" w:cs="Helvetica" w:eastAsia="Helvetica" w:hAnsi="Helvetica"/>
          <w:i/>
          <w:iCs/>
          <w:color w:val="888888"/>
          <w:sz w:val="18"/>
          <w:szCs w:val="18"/>
        </w:rPr>
        <w:t xml:space="preserve">By Ethan Cole | Technology and Science Editor</w:t>
      </w:r>
    </w:p>
    <w:p>
      <w:pPr>
        <w:spacing w:after="120" w:before="0" w:line="300"/>
        <w:jc w:val="both"/>
      </w:pPr>
      <w:r>
        <w:rPr>
          <w:rFonts w:ascii="Times New Roman" w:cs="Times New Roman" w:eastAsia="Times New Roman" w:hAnsi="Times New Roman"/>
          <w:color w:val="2E2E2E"/>
          <w:sz w:val="22"/>
          <w:szCs w:val="22"/>
        </w:rPr>
        <w:t xml:space="preserve">The call by Anthropic's chief executive and others for a slowdown in artificial intelligence development places Japan's guidance-based regulatory approach in an awkward position, since the argument for restraint is now coming from inside the industry rather than from its critics.</w:t>
      </w:r>
    </w:p>
    <w:p>
      <w:pPr>
        <w:spacing w:after="120" w:before="0" w:line="300"/>
        <w:jc w:val="both"/>
      </w:pPr>
      <w:r>
        <w:rPr>
          <w:rFonts w:ascii="Times New Roman" w:cs="Times New Roman" w:eastAsia="Times New Roman" w:hAnsi="Times New Roman"/>
          <w:color w:val="2E2E2E"/>
          <w:sz w:val="22"/>
          <w:szCs w:val="22"/>
        </w:rPr>
        <w:t xml:space="preserve">Japanese AI policy has favoured non-binding guidance over statutory constraint, a posture that positioned Tokyo between the European Union's comprehensive regulatory framework and Washington's reluctance to impose limits.</w:t>
      </w:r>
    </w:p>
    <w:p>
      <w:pPr>
        <w:spacing w:after="120" w:before="0" w:line="300"/>
        <w:jc w:val="both"/>
      </w:pPr>
      <w:r>
        <w:rPr>
          <w:rFonts w:ascii="Times New Roman" w:cs="Times New Roman" w:eastAsia="Times New Roman" w:hAnsi="Times New Roman"/>
          <w:color w:val="2E2E2E"/>
          <w:sz w:val="22"/>
          <w:szCs w:val="22"/>
        </w:rPr>
        <w:t xml:space="preserve">That middle position was defensible partly on the argument that frontier developers were better placed than regulators to judge what precautions were warranted. A frontier developer publicly asking for a slowdown complicates that reasoning.</w:t>
      </w:r>
    </w:p>
    <w:p>
      <w:pPr>
        <w:spacing w:after="120" w:before="0" w:line="300"/>
        <w:jc w:val="both"/>
      </w:pPr>
      <w:r>
        <w:rPr>
          <w:rFonts w:ascii="Times New Roman" w:cs="Times New Roman" w:eastAsia="Times New Roman" w:hAnsi="Times New Roman"/>
          <w:color w:val="2E2E2E"/>
          <w:sz w:val="22"/>
          <w:szCs w:val="22"/>
        </w:rPr>
        <w:t xml:space="preserve">President Trump's caution against regulatory measures maintains the competitiveness framing that has defined American policy, on the view that constraints risk ceding advantage to rivals operating without them.</w:t>
      </w:r>
    </w:p>
    <w:p>
      <w:pPr>
        <w:spacing w:after="120" w:before="0" w:line="300"/>
        <w:jc w:val="both"/>
      </w:pPr>
      <w:r>
        <w:rPr>
          <w:rFonts w:ascii="Times New Roman" w:cs="Times New Roman" w:eastAsia="Times New Roman" w:hAnsi="Times New Roman"/>
          <w:color w:val="2E2E2E"/>
          <w:sz w:val="22"/>
          <w:szCs w:val="22"/>
        </w:rPr>
        <w:t xml:space="preserve">Japan's own AI ambitions are substantial but sit below the frontier in scale, which means the country will largely operate under rules shaped elsewhere regardless of what its domestic guidance says.</w:t>
      </w:r>
    </w:p>
    <w:p>
      <w:pPr>
        <w:spacing w:after="120" w:before="0" w:line="300"/>
        <w:jc w:val="both"/>
      </w:pPr>
      <w:r>
        <w:rPr>
          <w:rFonts w:ascii="Times New Roman" w:cs="Times New Roman" w:eastAsia="Times New Roman" w:hAnsi="Times New Roman"/>
          <w:color w:val="2E2E2E"/>
          <w:sz w:val="22"/>
          <w:szCs w:val="22"/>
        </w:rPr>
        <w:t xml:space="preserve">Where Japan does hold leverage is in the semiconductor supply chain that frontier development depends on, a position that gives Tokyo influence over the physical inputs to AI capability rather than over the software itself.</w:t>
      </w:r>
    </w:p>
    <w:p>
      <w:pPr>
        <w:spacing w:after="120" w:before="0" w:line="300"/>
        <w:jc w:val="both"/>
      </w:pPr>
      <w:r>
        <w:rPr>
          <w:rFonts w:ascii="Times New Roman" w:cs="Times New Roman" w:eastAsia="Times New Roman" w:hAnsi="Times New Roman"/>
          <w:color w:val="2E2E2E"/>
          <w:sz w:val="22"/>
          <w:szCs w:val="22"/>
        </w:rPr>
        <w:t xml:space="preserve">Japan's approach has centred on guidelines developed through multi-stakeholder processes rather than binding statute, an arrangement that permits rapid adjustment as technology changes but carries no enforcement mechanism.</w:t>
      </w:r>
    </w:p>
    <w:p>
      <w:pPr>
        <w:spacing w:after="120" w:before="0" w:line="300"/>
        <w:jc w:val="both"/>
      </w:pPr>
      <w:r>
        <w:rPr>
          <w:rFonts w:ascii="Times New Roman" w:cs="Times New Roman" w:eastAsia="Times New Roman" w:hAnsi="Times New Roman"/>
          <w:color w:val="2E2E2E"/>
          <w:sz w:val="22"/>
          <w:szCs w:val="22"/>
        </w:rPr>
        <w:t xml:space="preserve">The European Union's AI Act takes the opposite approach, establishing risk categories with corresponding obligations, and its extraterritorial reach means Japanese firms serving European customers face its requirements regardless of domestic policy.</w:t>
      </w:r>
    </w:p>
    <w:p>
      <w:pPr>
        <w:spacing w:after="120" w:before="0" w:line="300"/>
        <w:jc w:val="both"/>
      </w:pPr>
      <w:r>
        <w:rPr>
          <w:rFonts w:ascii="Times New Roman" w:cs="Times New Roman" w:eastAsia="Times New Roman" w:hAnsi="Times New Roman"/>
          <w:color w:val="2E2E2E"/>
          <w:sz w:val="22"/>
          <w:szCs w:val="22"/>
        </w:rPr>
        <w:t xml:space="preserve">That extraterritoriality is a recurring feature of technology regulation, and it means mid-sized economies frequently operate under rules written elsewhere while retaining formal authority over their own markets.</w:t>
      </w:r>
    </w:p>
    <w:p>
      <w:pPr>
        <w:spacing w:after="120" w:before="0" w:line="300"/>
        <w:jc w:val="both"/>
      </w:pPr>
      <w:r>
        <w:rPr>
          <w:rFonts w:ascii="Times New Roman" w:cs="Times New Roman" w:eastAsia="Times New Roman" w:hAnsi="Times New Roman"/>
          <w:color w:val="2E2E2E"/>
          <w:sz w:val="22"/>
          <w:szCs w:val="22"/>
        </w:rPr>
        <w:t xml:space="preserve">Japan's practical leverage lies upstream, in the semiconductor equipment and materials on which frontier training runs depend, a position that confers influence over the physical inputs to capability.</w:t>
      </w:r>
    </w:p>
    <w:p>
      <w:pPr>
        <w:spacing w:after="120" w:before="0" w:line="300"/>
        <w:jc w:val="both"/>
      </w:pPr>
      <w:r>
        <w:rPr>
          <w:rFonts w:ascii="Times New Roman" w:cs="Times New Roman" w:eastAsia="Times New Roman" w:hAnsi="Times New Roman"/>
          <w:color w:val="2E2E2E"/>
          <w:sz w:val="22"/>
          <w:szCs w:val="22"/>
        </w:rPr>
        <w:t xml:space="preserve">Export controls have already demonstrated how that leverage operates, with coordinated restrictions on advanced equipment sales shaping where and how quickly capability can be built.</w:t>
      </w:r>
    </w:p>
    <w:p>
      <w:pPr>
        <w:spacing w:after="120" w:before="0" w:line="300"/>
        <w:jc w:val="both"/>
      </w:pPr>
      <w:r>
        <w:rPr>
          <w:rFonts w:ascii="Times New Roman" w:cs="Times New Roman" w:eastAsia="Times New Roman" w:hAnsi="Times New Roman"/>
          <w:color w:val="2E2E2E"/>
          <w:sz w:val="22"/>
          <w:szCs w:val="22"/>
        </w:rPr>
        <w:t xml:space="preserve">Domestic AI development in Japan has concentrated on applications and on models tailored to Japanese language and industrial use cases rather than on competing at the capability frontier directly.</w:t>
      </w:r>
    </w:p>
    <w:p>
      <w:pPr>
        <w:spacing w:after="200" w:before="40"/>
        <w:jc w:val="right"/>
      </w:pPr>
      <w:r>
        <w:rPr>
          <w:rFonts w:ascii="Helvetica" w:cs="Helvetica" w:eastAsia="Helvetica" w:hAnsi="Helvetica"/>
          <w:i/>
          <w:iCs/>
          <w:color w:val="888888"/>
          <w:sz w:val="16"/>
          <w:szCs w:val="16"/>
        </w:rPr>
        <w:t xml:space="preserve">[367 words]</w:t>
      </w:r>
    </w:p>
    <w:p>
      <w:pPr>
        <w:shd w:fill="0D1B2A" w:color="auto" w:val="clear"/>
        <w:spacing w:after="160" w:before="300"/>
        <w:jc w:val="center"/>
      </w:pPr>
      <w:r>
        <w:rPr>
          <w:rFonts w:ascii="Helvetica" w:cs="Helvetica" w:eastAsia="Helvetica" w:hAnsi="Helvetica"/>
          <w:b/>
          <w:bCs/>
          <w:color w:val="FFFFFF"/>
          <w:sz w:val="24"/>
          <w:szCs w:val="24"/>
        </w:rPr>
        <w:t xml:space="preserve">— CULTURE —</w:t>
      </w:r>
    </w:p>
    <w:p>
      <w:pPr>
        <w:pBdr>
          <w:top w:val="thick" w:color="9B1B2A" w:sz="18"/>
        </w:pBdr>
        <w:spacing w:after="80" w:before="160"/>
      </w:pPr>
      <w:r>
        <w:rPr>
          <w:rFonts w:ascii="Times New Roman" w:cs="Times New Roman" w:eastAsia="Times New Roman" w:hAnsi="Times New Roman"/>
          <w:b/>
          <w:bCs/>
          <w:color w:val="0D1B2A"/>
          <w:sz w:val="40"/>
          <w:szCs w:val="40"/>
        </w:rPr>
        <w:t xml:space="preserve">Actress Yuri Nakamura Dies at 44</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The actress Yuri Nakamura has died of rectal cancer at the age of 44, according to Sankei News.</w:t>
      </w:r>
    </w:p>
    <w:p>
      <w:pPr>
        <w:spacing w:after="120" w:before="0" w:line="300"/>
        <w:jc w:val="both"/>
      </w:pPr>
      <w:r>
        <w:rPr>
          <w:rFonts w:ascii="Times New Roman" w:cs="Times New Roman" w:eastAsia="Times New Roman" w:hAnsi="Times New Roman"/>
          <w:color w:val="2E2E2E"/>
          <w:sz w:val="22"/>
          <w:szCs w:val="22"/>
        </w:rPr>
        <w:t xml:space="preserve">Death at 44 from a cancer whose survival outcomes have improved substantially over recent decades tends to prompt public attention to screening, since rectal cancer detected early carries a markedly different prognosis from rectal cancer detected late.</w:t>
      </w:r>
    </w:p>
    <w:p>
      <w:pPr>
        <w:spacing w:after="120" w:before="0" w:line="300"/>
        <w:jc w:val="both"/>
      </w:pPr>
      <w:r>
        <w:rPr>
          <w:rFonts w:ascii="Times New Roman" w:cs="Times New Roman" w:eastAsia="Times New Roman" w:hAnsi="Times New Roman"/>
          <w:color w:val="2E2E2E"/>
          <w:sz w:val="22"/>
          <w:szCs w:val="22"/>
        </w:rPr>
        <w:t xml:space="preserve">Japan operates colorectal cancer screening programmes through municipal health systems, generally offering faecal occult blood testing from age 40, though participation rates have persistently lagged the levels public health officials consider adequate.</w:t>
      </w:r>
    </w:p>
    <w:p>
      <w:pPr>
        <w:spacing w:after="120" w:before="0" w:line="300"/>
        <w:jc w:val="both"/>
      </w:pPr>
      <w:r>
        <w:rPr>
          <w:rFonts w:ascii="Times New Roman" w:cs="Times New Roman" w:eastAsia="Times New Roman" w:hAnsi="Times New Roman"/>
          <w:color w:val="2E2E2E"/>
          <w:sz w:val="22"/>
          <w:szCs w:val="22"/>
        </w:rPr>
        <w:t xml:space="preserve">Public figures' illnesses have repeatedly driven measurable short-term increases in screening uptake in Japan, a pattern oncologists have documented and one that gives such announcements a public health dimension alongside the private loss.</w:t>
      </w:r>
    </w:p>
    <w:p>
      <w:pPr>
        <w:spacing w:after="120" w:before="0" w:line="300"/>
        <w:jc w:val="both"/>
      </w:pPr>
      <w:r>
        <w:rPr>
          <w:rFonts w:ascii="Times New Roman" w:cs="Times New Roman" w:eastAsia="Times New Roman" w:hAnsi="Times New Roman"/>
          <w:color w:val="2E2E2E"/>
          <w:sz w:val="22"/>
          <w:szCs w:val="22"/>
        </w:rPr>
        <w:t xml:space="preserve">Details of funeral arrangements and any statement from her representatives had not been reported as of Tuesday morning.</w:t>
      </w:r>
    </w:p>
    <w:p>
      <w:pPr>
        <w:spacing w:after="120" w:before="0" w:line="300"/>
        <w:jc w:val="both"/>
      </w:pPr>
      <w:r>
        <w:rPr>
          <w:rFonts w:ascii="Times New Roman" w:cs="Times New Roman" w:eastAsia="Times New Roman" w:hAnsi="Times New Roman"/>
          <w:color w:val="2E2E2E"/>
          <w:sz w:val="22"/>
          <w:szCs w:val="22"/>
        </w:rPr>
        <w:t xml:space="preserve">Colleagues and viewers who followed her work have begun posting tributes, the customary first public response to the death of a performer whose career was conducted substantially in front of an audience.</w:t>
      </w:r>
    </w:p>
    <w:p>
      <w:pPr>
        <w:spacing w:after="120" w:before="0" w:line="300"/>
        <w:jc w:val="both"/>
      </w:pPr>
      <w:r>
        <w:rPr>
          <w:rFonts w:ascii="Times New Roman" w:cs="Times New Roman" w:eastAsia="Times New Roman" w:hAnsi="Times New Roman"/>
          <w:color w:val="2E2E2E"/>
          <w:sz w:val="22"/>
          <w:szCs w:val="22"/>
        </w:rPr>
        <w:t xml:space="preserve">Colorectal cancer is among the most common cancers in Japan by incidence, and its outcomes depend heavily on the stage at which it is detected, with early-stage disease carrying markedly better survival than advanced presentation.</w:t>
      </w:r>
    </w:p>
    <w:p>
      <w:pPr>
        <w:spacing w:after="120" w:before="0" w:line="300"/>
        <w:jc w:val="both"/>
      </w:pPr>
      <w:r>
        <w:rPr>
          <w:rFonts w:ascii="Times New Roman" w:cs="Times New Roman" w:eastAsia="Times New Roman" w:hAnsi="Times New Roman"/>
          <w:color w:val="2E2E2E"/>
          <w:sz w:val="22"/>
          <w:szCs w:val="22"/>
        </w:rPr>
        <w:t xml:space="preserve">Municipal screening programmes offer faecal occult blood testing from age 40, a low-cost first-line test that identifies candidates for the colonoscopy that provides definitive diagnosis.</w:t>
      </w:r>
    </w:p>
    <w:p>
      <w:pPr>
        <w:spacing w:after="120" w:before="0" w:line="300"/>
        <w:jc w:val="both"/>
      </w:pPr>
      <w:r>
        <w:rPr>
          <w:rFonts w:ascii="Times New Roman" w:cs="Times New Roman" w:eastAsia="Times New Roman" w:hAnsi="Times New Roman"/>
          <w:color w:val="2E2E2E"/>
          <w:sz w:val="22"/>
          <w:szCs w:val="22"/>
        </w:rPr>
        <w:t xml:space="preserve">Participation rates in those programmes have persistently fallen short of the levels health authorities consider adequate, with the shortfall most pronounced among younger eligible adults and among men.</w:t>
      </w:r>
    </w:p>
    <w:p>
      <w:pPr>
        <w:spacing w:after="120" w:before="0" w:line="300"/>
        <w:jc w:val="both"/>
      </w:pPr>
      <w:r>
        <w:rPr>
          <w:rFonts w:ascii="Times New Roman" w:cs="Times New Roman" w:eastAsia="Times New Roman" w:hAnsi="Times New Roman"/>
          <w:color w:val="2E2E2E"/>
          <w:sz w:val="22"/>
          <w:szCs w:val="22"/>
        </w:rPr>
        <w:t xml:space="preserve">Oncologists have documented measurable increases in screening uptake following publicised cases involving well-known figures, an effect that is real but typically short-lived.</w:t>
      </w:r>
    </w:p>
    <w:p>
      <w:pPr>
        <w:spacing w:after="120" w:before="0" w:line="300"/>
        <w:jc w:val="both"/>
      </w:pPr>
      <w:r>
        <w:rPr>
          <w:rFonts w:ascii="Times New Roman" w:cs="Times New Roman" w:eastAsia="Times New Roman" w:hAnsi="Times New Roman"/>
          <w:color w:val="2E2E2E"/>
          <w:sz w:val="22"/>
          <w:szCs w:val="22"/>
        </w:rPr>
        <w:t xml:space="preserve">Awareness campaigns have sought to address the reluctance surrounding the test itself, which clinicians identify as a significant barrier independent of awareness of the disease.</w:t>
      </w:r>
    </w:p>
    <w:p>
      <w:pPr>
        <w:spacing w:after="120" w:before="0" w:line="300"/>
        <w:jc w:val="both"/>
      </w:pPr>
      <w:r>
        <w:rPr>
          <w:rFonts w:ascii="Times New Roman" w:cs="Times New Roman" w:eastAsia="Times New Roman" w:hAnsi="Times New Roman"/>
          <w:color w:val="2E2E2E"/>
          <w:sz w:val="22"/>
          <w:szCs w:val="22"/>
        </w:rPr>
        <w:t xml:space="preserve">Statements from representatives and details of any funeral arrangements had not been reported as of Tuesday morning.</w:t>
      </w:r>
    </w:p>
    <w:p>
      <w:pPr>
        <w:spacing w:after="200" w:before="40"/>
        <w:jc w:val="right"/>
      </w:pPr>
      <w:r>
        <w:rPr>
          <w:rFonts w:ascii="Helvetica" w:cs="Helvetica" w:eastAsia="Helvetica" w:hAnsi="Helvetica"/>
          <w:i/>
          <w:iCs/>
          <w:color w:val="888888"/>
          <w:sz w:val="16"/>
          <w:szCs w:val="16"/>
        </w:rPr>
        <w:t xml:space="preserve">[322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Pokémon Marks 30 Years With a Ball-Shaped Hotel in Tomakomai</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A ball-shaped hotel has opened in Tomakomai, Hokkaido, to mark the Pokémon franchise's thirtieth anniversary, according to Yomiuri Shimbun, converting the property's most recognisable object into architecture.</w:t>
      </w:r>
    </w:p>
    <w:p>
      <w:pPr>
        <w:spacing w:after="120" w:before="0" w:line="300"/>
        <w:jc w:val="both"/>
      </w:pPr>
      <w:r>
        <w:rPr>
          <w:rFonts w:ascii="Times New Roman" w:cs="Times New Roman" w:eastAsia="Times New Roman" w:hAnsi="Times New Roman"/>
          <w:color w:val="2E2E2E"/>
          <w:sz w:val="22"/>
          <w:szCs w:val="22"/>
        </w:rPr>
        <w:t xml:space="preserve">Thirty years places the franchise's origin in 1996 and makes it one of the few entertainment properties to have held a mass audience across a full generational cycle, with parents who played the original games now introducing children to current ones.</w:t>
      </w:r>
    </w:p>
    <w:p>
      <w:pPr>
        <w:spacing w:after="120" w:before="0" w:line="300"/>
        <w:jc w:val="both"/>
      </w:pPr>
      <w:r>
        <w:rPr>
          <w:rFonts w:ascii="Times New Roman" w:cs="Times New Roman" w:eastAsia="Times New Roman" w:hAnsi="Times New Roman"/>
          <w:color w:val="2E2E2E"/>
          <w:sz w:val="22"/>
          <w:szCs w:val="22"/>
        </w:rPr>
        <w:t xml:space="preserve">Tomakomai is a notable choice of location. A port and industrial city in southern Hokkaido, it is not an established entertainment tourism destination, which is presumably part of the appeal for a project seeking attention.</w:t>
      </w:r>
    </w:p>
    <w:p>
      <w:pPr>
        <w:spacing w:after="120" w:before="0" w:line="300"/>
        <w:jc w:val="both"/>
      </w:pPr>
      <w:r>
        <w:rPr>
          <w:rFonts w:ascii="Times New Roman" w:cs="Times New Roman" w:eastAsia="Times New Roman" w:hAnsi="Times New Roman"/>
          <w:color w:val="2E2E2E"/>
          <w:sz w:val="22"/>
          <w:szCs w:val="22"/>
        </w:rPr>
        <w:t xml:space="preserve">Franchise-themed accommodation has become a recognisable category in Japanese tourism, offering operators a way to convert intellectual property into overnight stays rather than day visits, which changes the economics considerably.</w:t>
      </w:r>
    </w:p>
    <w:p>
      <w:pPr>
        <w:spacing w:after="120" w:before="0" w:line="300"/>
        <w:jc w:val="both"/>
      </w:pPr>
      <w:r>
        <w:rPr>
          <w:rFonts w:ascii="Times New Roman" w:cs="Times New Roman" w:eastAsia="Times New Roman" w:hAnsi="Times New Roman"/>
          <w:color w:val="2E2E2E"/>
          <w:sz w:val="22"/>
          <w:szCs w:val="22"/>
        </w:rPr>
        <w:t xml:space="preserve">Hokkaido's tourism sector has pursued year-round attractions to reduce its dependence on winter sports and summer scenery, and a themed hotel with no seasonal constraint fits that strategy neatly.</w:t>
      </w:r>
    </w:p>
    <w:p>
      <w:pPr>
        <w:spacing w:after="120" w:before="0" w:line="300"/>
        <w:jc w:val="both"/>
      </w:pPr>
      <w:r>
        <w:rPr>
          <w:rFonts w:ascii="Times New Roman" w:cs="Times New Roman" w:eastAsia="Times New Roman" w:hAnsi="Times New Roman"/>
          <w:color w:val="2E2E2E"/>
          <w:sz w:val="22"/>
          <w:szCs w:val="22"/>
        </w:rPr>
        <w:t xml:space="preserve">The anniversary programme extends well beyond one hotel, though a building shaped like a Poké Ball is the element most likely to travel as a photograph, which is presumably the point.</w:t>
      </w:r>
    </w:p>
    <w:p>
      <w:pPr>
        <w:spacing w:after="120" w:before="0" w:line="300"/>
        <w:jc w:val="both"/>
      </w:pPr>
      <w:r>
        <w:rPr>
          <w:rFonts w:ascii="Times New Roman" w:cs="Times New Roman" w:eastAsia="Times New Roman" w:hAnsi="Times New Roman"/>
          <w:color w:val="2E2E2E"/>
          <w:sz w:val="22"/>
          <w:szCs w:val="22"/>
        </w:rPr>
        <w:t xml:space="preserve">The franchise began as a pair of Game Boy titles released in 1996 and expanded into animation, trading cards and merchandise within a few years, establishing the multi-format structure it has maintained since.</w:t>
      </w:r>
    </w:p>
    <w:p>
      <w:pPr>
        <w:spacing w:after="120" w:before="0" w:line="300"/>
        <w:jc w:val="both"/>
      </w:pPr>
      <w:r>
        <w:rPr>
          <w:rFonts w:ascii="Times New Roman" w:cs="Times New Roman" w:eastAsia="Times New Roman" w:hAnsi="Times New Roman"/>
          <w:color w:val="2E2E2E"/>
          <w:sz w:val="22"/>
          <w:szCs w:val="22"/>
        </w:rPr>
        <w:t xml:space="preserve">Its commercial architecture is unusual in distributing risk across formats, so that a weak year in one does not threaten the whole, and in refreshing its audience continuously rather than ageing with it.</w:t>
      </w:r>
    </w:p>
    <w:p>
      <w:pPr>
        <w:spacing w:after="120" w:before="0" w:line="300"/>
        <w:jc w:val="both"/>
      </w:pPr>
      <w:r>
        <w:rPr>
          <w:rFonts w:ascii="Times New Roman" w:cs="Times New Roman" w:eastAsia="Times New Roman" w:hAnsi="Times New Roman"/>
          <w:color w:val="2E2E2E"/>
          <w:sz w:val="22"/>
          <w:szCs w:val="22"/>
        </w:rPr>
        <w:t xml:space="preserve">Location-based attractions have become a more prominent part of the strategy in recent years, converting engagement into physical visits and the spending that accompanies them.</w:t>
      </w:r>
    </w:p>
    <w:p>
      <w:pPr>
        <w:spacing w:after="120" w:before="0" w:line="300"/>
        <w:jc w:val="both"/>
      </w:pPr>
      <w:r>
        <w:rPr>
          <w:rFonts w:ascii="Times New Roman" w:cs="Times New Roman" w:eastAsia="Times New Roman" w:hAnsi="Times New Roman"/>
          <w:color w:val="2E2E2E"/>
          <w:sz w:val="22"/>
          <w:szCs w:val="22"/>
        </w:rPr>
        <w:t xml:space="preserve">Japan's content industry has pursued location-based expansion broadly, with several franchises establishing permanent attractions as a route to revenue less dependent on new releases.</w:t>
      </w:r>
    </w:p>
    <w:p>
      <w:pPr>
        <w:spacing w:after="120" w:before="0" w:line="300"/>
        <w:jc w:val="both"/>
      </w:pPr>
      <w:r>
        <w:rPr>
          <w:rFonts w:ascii="Times New Roman" w:cs="Times New Roman" w:eastAsia="Times New Roman" w:hAnsi="Times New Roman"/>
          <w:color w:val="2E2E2E"/>
          <w:sz w:val="22"/>
          <w:szCs w:val="22"/>
        </w:rPr>
        <w:t xml:space="preserve">Tomakomai's selection places the property outside the established tourism circuits, which distributes visitor traffic toward a region that has not competed for it directly.</w:t>
      </w:r>
    </w:p>
    <w:p>
      <w:pPr>
        <w:spacing w:after="120" w:before="0" w:line="300"/>
        <w:jc w:val="both"/>
      </w:pPr>
      <w:r>
        <w:rPr>
          <w:rFonts w:ascii="Times New Roman" w:cs="Times New Roman" w:eastAsia="Times New Roman" w:hAnsi="Times New Roman"/>
          <w:color w:val="2E2E2E"/>
          <w:sz w:val="22"/>
          <w:szCs w:val="22"/>
        </w:rPr>
        <w:t xml:space="preserve">Anniversary programmes of this kind typically run across multiple formats and territories, with individual elements timed to sustain attention across the year.</w:t>
      </w:r>
    </w:p>
    <w:p>
      <w:pPr>
        <w:spacing w:after="120" w:before="0" w:line="300"/>
        <w:jc w:val="both"/>
      </w:pPr>
      <w:r>
        <w:rPr>
          <w:rFonts w:ascii="Times New Roman" w:cs="Times New Roman" w:eastAsia="Times New Roman" w:hAnsi="Times New Roman"/>
          <w:color w:val="2E2E2E"/>
          <w:sz w:val="22"/>
          <w:szCs w:val="22"/>
        </w:rPr>
        <w:t xml:space="preserve">Anniversary programming in Japanese entertainment frequently extends across a full year rather than concentrating on a single date, sustaining attention through successive announcements.</w:t>
      </w:r>
    </w:p>
    <w:p>
      <w:pPr>
        <w:spacing w:after="120" w:before="0" w:line="300"/>
        <w:jc w:val="both"/>
      </w:pPr>
      <w:r>
        <w:rPr>
          <w:rFonts w:ascii="Times New Roman" w:cs="Times New Roman" w:eastAsia="Times New Roman" w:hAnsi="Times New Roman"/>
          <w:color w:val="2E2E2E"/>
          <w:sz w:val="22"/>
          <w:szCs w:val="22"/>
        </w:rPr>
        <w:t xml:space="preserve">The franchise's thirtieth year has already included game releases, animation and merchandise lines, with the hotel representing the location-based strand of a broader campaign.</w:t>
      </w:r>
    </w:p>
    <w:p>
      <w:pPr>
        <w:spacing w:after="120" w:before="0" w:line="300"/>
        <w:jc w:val="both"/>
      </w:pPr>
      <w:r>
        <w:rPr>
          <w:rFonts w:ascii="Times New Roman" w:cs="Times New Roman" w:eastAsia="Times New Roman" w:hAnsi="Times New Roman"/>
          <w:color w:val="2E2E2E"/>
          <w:sz w:val="22"/>
          <w:szCs w:val="22"/>
        </w:rPr>
        <w:t xml:space="preserve">Hokkaido's tourism authorities have supported themed attractions as part of a strategy to extend the visitor season beyond its winter concentration.</w:t>
      </w:r>
    </w:p>
    <w:p>
      <w:pPr>
        <w:spacing w:after="200" w:before="40"/>
        <w:jc w:val="right"/>
      </w:pPr>
      <w:r>
        <w:rPr>
          <w:rFonts w:ascii="Helvetica" w:cs="Helvetica" w:eastAsia="Helvetica" w:hAnsi="Helvetica"/>
          <w:i/>
          <w:iCs/>
          <w:color w:val="888888"/>
          <w:sz w:val="16"/>
          <w:szCs w:val="16"/>
        </w:rPr>
        <w:t xml:space="preserve">[422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High School Philosophy Club's Series Published as a Book</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A series produced by the Philosophy Club at Tsuchiura First High School in Ibaraki Prefecture has been published as a book under the title "Philosophy After School," according to Sankei News.</w:t>
      </w:r>
    </w:p>
    <w:p>
      <w:pPr>
        <w:spacing w:after="120" w:before="0" w:line="300"/>
        <w:jc w:val="both"/>
      </w:pPr>
      <w:r>
        <w:rPr>
          <w:rFonts w:ascii="Times New Roman" w:cs="Times New Roman" w:eastAsia="Times New Roman" w:hAnsi="Times New Roman"/>
          <w:color w:val="2E2E2E"/>
          <w:sz w:val="22"/>
          <w:szCs w:val="22"/>
        </w:rPr>
        <w:t xml:space="preserve">Publication of student work as a commercial book is genuinely unusual, and it suggests the series found an audience beyond the school community that produced it.</w:t>
      </w:r>
    </w:p>
    <w:p>
      <w:pPr>
        <w:spacing w:after="120" w:before="0" w:line="300"/>
        <w:jc w:val="both"/>
      </w:pPr>
      <w:r>
        <w:rPr>
          <w:rFonts w:ascii="Times New Roman" w:cs="Times New Roman" w:eastAsia="Times New Roman" w:hAnsi="Times New Roman"/>
          <w:color w:val="2E2E2E"/>
          <w:sz w:val="22"/>
          <w:szCs w:val="22"/>
        </w:rPr>
        <w:t xml:space="preserve">Philosophy occupies a marginal position in the Japanese secondary curriculum, appearing within ethics courses rather than as a subject in its own right, which makes a student-run club the main route available to pupils who want to pursue it.</w:t>
      </w:r>
    </w:p>
    <w:p>
      <w:pPr>
        <w:spacing w:after="120" w:before="0" w:line="300"/>
        <w:jc w:val="both"/>
      </w:pPr>
      <w:r>
        <w:rPr>
          <w:rFonts w:ascii="Times New Roman" w:cs="Times New Roman" w:eastAsia="Times New Roman" w:hAnsi="Times New Roman"/>
          <w:color w:val="2E2E2E"/>
          <w:sz w:val="22"/>
          <w:szCs w:val="22"/>
        </w:rPr>
        <w:t xml:space="preserve">That marginality is part of what makes the book interesting. A club operating outside the examination system's incentives is free to pursue questions for their own sake, which is both philosophy's traditional justification and a rarity in a third year of high school.</w:t>
      </w:r>
    </w:p>
    <w:p>
      <w:pPr>
        <w:spacing w:after="120" w:before="0" w:line="300"/>
        <w:jc w:val="both"/>
      </w:pPr>
      <w:r>
        <w:rPr>
          <w:rFonts w:ascii="Times New Roman" w:cs="Times New Roman" w:eastAsia="Times New Roman" w:hAnsi="Times New Roman"/>
          <w:color w:val="2E2E2E"/>
          <w:sz w:val="22"/>
          <w:szCs w:val="22"/>
        </w:rPr>
        <w:t xml:space="preserve">Tsuchiura First High School is among Ibaraki's established academic institutions, with the kind of extracurricular culture that supports sustained student projects over multiple years.</w:t>
      </w:r>
    </w:p>
    <w:p>
      <w:pPr>
        <w:spacing w:after="120" w:before="0" w:line="300"/>
        <w:jc w:val="both"/>
      </w:pPr>
      <w:r>
        <w:rPr>
          <w:rFonts w:ascii="Times New Roman" w:cs="Times New Roman" w:eastAsia="Times New Roman" w:hAnsi="Times New Roman"/>
          <w:color w:val="2E2E2E"/>
          <w:sz w:val="22"/>
          <w:szCs w:val="22"/>
        </w:rPr>
        <w:t xml:space="preserve">Whether the book finds readers beyond the curious is less important than what its existence demonstrates about what secondary students produce when given room to work outside the syllabus.</w:t>
      </w:r>
    </w:p>
    <w:p>
      <w:pPr>
        <w:spacing w:after="120" w:before="0" w:line="300"/>
        <w:jc w:val="both"/>
      </w:pPr>
      <w:r>
        <w:rPr>
          <w:rFonts w:ascii="Times New Roman" w:cs="Times New Roman" w:eastAsia="Times New Roman" w:hAnsi="Times New Roman"/>
          <w:color w:val="2E2E2E"/>
          <w:sz w:val="22"/>
          <w:szCs w:val="22"/>
        </w:rPr>
        <w:t xml:space="preserve">Philosophy appears in the Japanese secondary curriculum principally within ethics courses, which cover it alongside religion and moral reasoning rather than treating it as a discipline in its own right.</w:t>
      </w:r>
    </w:p>
    <w:p>
      <w:pPr>
        <w:spacing w:after="120" w:before="0" w:line="300"/>
        <w:jc w:val="both"/>
      </w:pPr>
      <w:r>
        <w:rPr>
          <w:rFonts w:ascii="Times New Roman" w:cs="Times New Roman" w:eastAsia="Times New Roman" w:hAnsi="Times New Roman"/>
          <w:color w:val="2E2E2E"/>
          <w:sz w:val="22"/>
          <w:szCs w:val="22"/>
        </w:rPr>
        <w:t xml:space="preserve">That placement means students encountering philosophy as a subject to be pursued rather than surveyed generally do so through clubs or independent reading.</w:t>
      </w:r>
    </w:p>
    <w:p>
      <w:pPr>
        <w:spacing w:after="120" w:before="0" w:line="300"/>
        <w:jc w:val="both"/>
      </w:pPr>
      <w:r>
        <w:rPr>
          <w:rFonts w:ascii="Times New Roman" w:cs="Times New Roman" w:eastAsia="Times New Roman" w:hAnsi="Times New Roman"/>
          <w:color w:val="2E2E2E"/>
          <w:sz w:val="22"/>
          <w:szCs w:val="22"/>
        </w:rPr>
        <w:t xml:space="preserve">School clubs occupy a substantial place in Japanese secondary education, frequently consuming more hours than academic classes and forming the social structure through which much of school life is organised.</w:t>
      </w:r>
    </w:p>
    <w:p>
      <w:pPr>
        <w:spacing w:after="120" w:before="0" w:line="300"/>
        <w:jc w:val="both"/>
      </w:pPr>
      <w:r>
        <w:rPr>
          <w:rFonts w:ascii="Times New Roman" w:cs="Times New Roman" w:eastAsia="Times New Roman" w:hAnsi="Times New Roman"/>
          <w:color w:val="2E2E2E"/>
          <w:sz w:val="22"/>
          <w:szCs w:val="22"/>
        </w:rPr>
        <w:t xml:space="preserve">Most clubs are athletic or arts-based, which makes a philosophy club unusual and suggests sustained interest among a group of students and at least one supportive teacher.</w:t>
      </w:r>
    </w:p>
    <w:p>
      <w:pPr>
        <w:spacing w:after="120" w:before="0" w:line="300"/>
        <w:jc w:val="both"/>
      </w:pPr>
      <w:r>
        <w:rPr>
          <w:rFonts w:ascii="Times New Roman" w:cs="Times New Roman" w:eastAsia="Times New Roman" w:hAnsi="Times New Roman"/>
          <w:color w:val="2E2E2E"/>
          <w:sz w:val="22"/>
          <w:szCs w:val="22"/>
        </w:rPr>
        <w:t xml:space="preserve">Publication indicates the series found readers beyond the school, since commercial publishers do not typically take on student work without evidence of an audience.</w:t>
      </w:r>
    </w:p>
    <w:p>
      <w:pPr>
        <w:spacing w:after="120" w:before="0" w:line="300"/>
        <w:jc w:val="both"/>
      </w:pPr>
      <w:r>
        <w:rPr>
          <w:rFonts w:ascii="Times New Roman" w:cs="Times New Roman" w:eastAsia="Times New Roman" w:hAnsi="Times New Roman"/>
          <w:color w:val="2E2E2E"/>
          <w:sz w:val="22"/>
          <w:szCs w:val="22"/>
        </w:rPr>
        <w:t xml:space="preserve">Tsuchiura First High School is among Ibaraki's established academic institutions, with the kind of extracurricular culture that sustains projects across multiple school years.</w:t>
      </w:r>
    </w:p>
    <w:p>
      <w:pPr>
        <w:spacing w:after="200" w:before="40"/>
        <w:jc w:val="right"/>
      </w:pPr>
      <w:r>
        <w:rPr>
          <w:rFonts w:ascii="Helvetica" w:cs="Helvetica" w:eastAsia="Helvetica" w:hAnsi="Helvetica"/>
          <w:i/>
          <w:iCs/>
          <w:color w:val="888888"/>
          <w:sz w:val="16"/>
          <w:szCs w:val="16"/>
        </w:rPr>
        <w:t xml:space="preserve">[349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Thirty Years On, Pokémon Remains Japan's Most Durable Cultural Export</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The thirtieth anniversary marked by the opening of a ball-shaped hotel in Tomakomai invites a broader observation about the franchise's staying power, which has few parallels in entertainment anywhere.</w:t>
      </w:r>
    </w:p>
    <w:p>
      <w:pPr>
        <w:spacing w:after="120" w:before="0" w:line="300"/>
        <w:jc w:val="both"/>
      </w:pPr>
      <w:r>
        <w:rPr>
          <w:rFonts w:ascii="Times New Roman" w:cs="Times New Roman" w:eastAsia="Times New Roman" w:hAnsi="Times New Roman"/>
          <w:color w:val="2E2E2E"/>
          <w:sz w:val="22"/>
          <w:szCs w:val="22"/>
        </w:rPr>
        <w:t xml:space="preserve">Franchises that survive three decades generally do so by holding a single audience as it ages. Pokémon has instead recruited a new cohort of children roughly every few years while retaining a substantial share of the previous ones, which is a considerably harder trick.</w:t>
      </w:r>
    </w:p>
    <w:p>
      <w:pPr>
        <w:spacing w:after="120" w:before="0" w:line="300"/>
        <w:jc w:val="both"/>
      </w:pPr>
      <w:r>
        <w:rPr>
          <w:rFonts w:ascii="Times New Roman" w:cs="Times New Roman" w:eastAsia="Times New Roman" w:hAnsi="Times New Roman"/>
          <w:color w:val="2E2E2E"/>
          <w:sz w:val="22"/>
          <w:szCs w:val="22"/>
        </w:rPr>
        <w:t xml:space="preserve">The commercial architecture supporting that is unusually diversified: games, animation, trading cards, merchandise and location-based attractions, each reinforcing the others and none dependent on any single release performing.</w:t>
      </w:r>
    </w:p>
    <w:p>
      <w:pPr>
        <w:spacing w:after="120" w:before="0" w:line="300"/>
        <w:jc w:val="both"/>
      </w:pPr>
      <w:r>
        <w:rPr>
          <w:rFonts w:ascii="Times New Roman" w:cs="Times New Roman" w:eastAsia="Times New Roman" w:hAnsi="Times New Roman"/>
          <w:color w:val="2E2E2E"/>
          <w:sz w:val="22"/>
          <w:szCs w:val="22"/>
        </w:rPr>
        <w:t xml:space="preserve">The trading card business in particular has developed a secondary market whose scale has periodically surprised the company itself, drawing collectors whose engagement has little to do with the games from which the cards originated.</w:t>
      </w:r>
    </w:p>
    <w:p>
      <w:pPr>
        <w:spacing w:after="120" w:before="0" w:line="300"/>
        <w:jc w:val="both"/>
      </w:pPr>
      <w:r>
        <w:rPr>
          <w:rFonts w:ascii="Times New Roman" w:cs="Times New Roman" w:eastAsia="Times New Roman" w:hAnsi="Times New Roman"/>
          <w:color w:val="2E2E2E"/>
          <w:sz w:val="22"/>
          <w:szCs w:val="22"/>
        </w:rPr>
        <w:t xml:space="preserve">For Japan's content export economy, the franchise functions as a demonstration of what sustained investment in a property can produce, and as an awkward reminder of how rarely the model has been replicated at comparable scale.</w:t>
      </w:r>
    </w:p>
    <w:p>
      <w:pPr>
        <w:spacing w:after="120" w:before="0" w:line="300"/>
        <w:jc w:val="both"/>
      </w:pPr>
      <w:r>
        <w:rPr>
          <w:rFonts w:ascii="Times New Roman" w:cs="Times New Roman" w:eastAsia="Times New Roman" w:hAnsi="Times New Roman"/>
          <w:color w:val="2E2E2E"/>
          <w:sz w:val="22"/>
          <w:szCs w:val="22"/>
        </w:rPr>
        <w:t xml:space="preserve">The anniversary programme runs across multiple formats, though a building shaped like a Poké Ball is the element most likely to reach audiences who have not thought about the franchise in years.</w:t>
      </w:r>
    </w:p>
    <w:p>
      <w:pPr>
        <w:spacing w:after="120" w:before="0" w:line="300"/>
        <w:jc w:val="both"/>
      </w:pPr>
      <w:r>
        <w:rPr>
          <w:rFonts w:ascii="Times New Roman" w:cs="Times New Roman" w:eastAsia="Times New Roman" w:hAnsi="Times New Roman"/>
          <w:color w:val="2E2E2E"/>
          <w:sz w:val="22"/>
          <w:szCs w:val="22"/>
        </w:rPr>
        <w:t xml:space="preserve">Franchises sustaining three decades of mass appeal are rare in any medium, and the number that have recruited successive generations of children rather than ageing with a single cohort is smaller still.</w:t>
      </w:r>
    </w:p>
    <w:p>
      <w:pPr>
        <w:spacing w:after="120" w:before="0" w:line="300"/>
        <w:jc w:val="both"/>
      </w:pPr>
      <w:r>
        <w:rPr>
          <w:rFonts w:ascii="Times New Roman" w:cs="Times New Roman" w:eastAsia="Times New Roman" w:hAnsi="Times New Roman"/>
          <w:color w:val="2E2E2E"/>
          <w:sz w:val="22"/>
          <w:szCs w:val="22"/>
        </w:rPr>
        <w:t xml:space="preserve">The trading card business has grown into a substantial economy of its own, with a secondary market whose scale has periodically exceeded the company's own expectations.</w:t>
      </w:r>
    </w:p>
    <w:p>
      <w:pPr>
        <w:spacing w:after="120" w:before="0" w:line="300"/>
        <w:jc w:val="both"/>
      </w:pPr>
      <w:r>
        <w:rPr>
          <w:rFonts w:ascii="Times New Roman" w:cs="Times New Roman" w:eastAsia="Times New Roman" w:hAnsi="Times New Roman"/>
          <w:color w:val="2E2E2E"/>
          <w:sz w:val="22"/>
          <w:szCs w:val="22"/>
        </w:rPr>
        <w:t xml:space="preserve">That market has attracted collectors and investors whose engagement is largely separate from the games, a dynamic that has driven both growth and the occasional supply disruption.</w:t>
      </w:r>
    </w:p>
    <w:p>
      <w:pPr>
        <w:spacing w:after="120" w:before="0" w:line="300"/>
        <w:jc w:val="both"/>
      </w:pPr>
      <w:r>
        <w:rPr>
          <w:rFonts w:ascii="Times New Roman" w:cs="Times New Roman" w:eastAsia="Times New Roman" w:hAnsi="Times New Roman"/>
          <w:color w:val="2E2E2E"/>
          <w:sz w:val="22"/>
          <w:szCs w:val="22"/>
        </w:rPr>
        <w:t xml:space="preserve">Japan's content exports have been identified repeatedly as a strategic economic sector, with government programmes seeking to replicate the international reach the franchise achieved.</w:t>
      </w:r>
    </w:p>
    <w:p>
      <w:pPr>
        <w:spacing w:after="120" w:before="0" w:line="300"/>
        <w:jc w:val="both"/>
      </w:pPr>
      <w:r>
        <w:rPr>
          <w:rFonts w:ascii="Times New Roman" w:cs="Times New Roman" w:eastAsia="Times New Roman" w:hAnsi="Times New Roman"/>
          <w:color w:val="2E2E2E"/>
          <w:sz w:val="22"/>
          <w:szCs w:val="22"/>
        </w:rPr>
        <w:t xml:space="preserve">Those programmes have generally struggled, since the combination of sustained investment, format discipline and audience renewal that produced this case has proved difficult to engineer deliberately.</w:t>
      </w:r>
    </w:p>
    <w:p>
      <w:pPr>
        <w:spacing w:after="120" w:before="0" w:line="300"/>
        <w:jc w:val="both"/>
      </w:pPr>
      <w:r>
        <w:rPr>
          <w:rFonts w:ascii="Times New Roman" w:cs="Times New Roman" w:eastAsia="Times New Roman" w:hAnsi="Times New Roman"/>
          <w:color w:val="2E2E2E"/>
          <w:sz w:val="22"/>
          <w:szCs w:val="22"/>
        </w:rPr>
        <w:t xml:space="preserve">Licensing rather than direct production accounts for much of the franchise's reach, an arrangement that extends presence without requiring the owner to operate in every category.</w:t>
      </w:r>
    </w:p>
    <w:p>
      <w:pPr>
        <w:spacing w:after="200" w:before="40"/>
        <w:jc w:val="right"/>
      </w:pPr>
      <w:r>
        <w:rPr>
          <w:rFonts w:ascii="Helvetica" w:cs="Helvetica" w:eastAsia="Helvetica" w:hAnsi="Helvetica"/>
          <w:i/>
          <w:iCs/>
          <w:color w:val="888888"/>
          <w:sz w:val="16"/>
          <w:szCs w:val="16"/>
        </w:rPr>
        <w:t xml:space="preserve">[365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Tomakomai Hotel Fits a Hokkaido Push for Year-Round Visitors</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The ball-shaped Pokémon hotel opening in Tomakomai arrives as Hokkaido continues seeking attractions that draw visitors outside the winter sports season on which much of its tourism economy has depended.</w:t>
      </w:r>
    </w:p>
    <w:p>
      <w:pPr>
        <w:spacing w:after="120" w:before="0" w:line="300"/>
        <w:jc w:val="both"/>
      </w:pPr>
      <w:r>
        <w:rPr>
          <w:rFonts w:ascii="Times New Roman" w:cs="Times New Roman" w:eastAsia="Times New Roman" w:hAnsi="Times New Roman"/>
          <w:color w:val="2E2E2E"/>
          <w:sz w:val="22"/>
          <w:szCs w:val="22"/>
        </w:rPr>
        <w:t xml:space="preserve">Hokkaido's seasonal concentration has long been a structural problem for operators, with powder snow filling accommodation through winter and considerably thinner demand across other months.</w:t>
      </w:r>
    </w:p>
    <w:p>
      <w:pPr>
        <w:spacing w:after="120" w:before="0" w:line="300"/>
        <w:jc w:val="both"/>
      </w:pPr>
      <w:r>
        <w:rPr>
          <w:rFonts w:ascii="Times New Roman" w:cs="Times New Roman" w:eastAsia="Times New Roman" w:hAnsi="Times New Roman"/>
          <w:color w:val="2E2E2E"/>
          <w:sz w:val="22"/>
          <w:szCs w:val="22"/>
        </w:rPr>
        <w:t xml:space="preserve">Themed accommodation carries no seasonal constraint, which is a substantial part of its appeal to regional tourism planners assessing what to support.</w:t>
      </w:r>
    </w:p>
    <w:p>
      <w:pPr>
        <w:spacing w:after="120" w:before="0" w:line="300"/>
        <w:jc w:val="both"/>
      </w:pPr>
      <w:r>
        <w:rPr>
          <w:rFonts w:ascii="Times New Roman" w:cs="Times New Roman" w:eastAsia="Times New Roman" w:hAnsi="Times New Roman"/>
          <w:color w:val="2E2E2E"/>
          <w:sz w:val="22"/>
          <w:szCs w:val="22"/>
        </w:rPr>
        <w:t xml:space="preserve">Tomakomai's position as a port and industrial city rather than an established resort town means the project brings visitor traffic to an area that has not competed for it directly.</w:t>
      </w:r>
    </w:p>
    <w:p>
      <w:pPr>
        <w:spacing w:after="120" w:before="0" w:line="300"/>
        <w:jc w:val="both"/>
      </w:pPr>
      <w:r>
        <w:rPr>
          <w:rFonts w:ascii="Times New Roman" w:cs="Times New Roman" w:eastAsia="Times New Roman" w:hAnsi="Times New Roman"/>
          <w:color w:val="2E2E2E"/>
          <w:sz w:val="22"/>
          <w:szCs w:val="22"/>
        </w:rPr>
        <w:t xml:space="preserve">Franchise-themed properties convert intellectual property into overnight stays rather than day visits, which changes the local economic return considerably through spending on meals and transport.</w:t>
      </w:r>
    </w:p>
    <w:p>
      <w:pPr>
        <w:spacing w:after="120" w:before="0" w:line="300"/>
        <w:jc w:val="both"/>
      </w:pPr>
      <w:r>
        <w:rPr>
          <w:rFonts w:ascii="Times New Roman" w:cs="Times New Roman" w:eastAsia="Times New Roman" w:hAnsi="Times New Roman"/>
          <w:color w:val="2E2E2E"/>
          <w:sz w:val="22"/>
          <w:szCs w:val="22"/>
        </w:rPr>
        <w:t xml:space="preserve">Whether a single property shifts regional visitor patterns meaningfully is a question the operator's occupancy figures will answer over the coming year.</w:t>
      </w:r>
    </w:p>
    <w:p>
      <w:pPr>
        <w:spacing w:after="120" w:before="0" w:line="300"/>
        <w:jc w:val="both"/>
      </w:pPr>
      <w:r>
        <w:rPr>
          <w:rFonts w:ascii="Times New Roman" w:cs="Times New Roman" w:eastAsia="Times New Roman" w:hAnsi="Times New Roman"/>
          <w:color w:val="2E2E2E"/>
          <w:sz w:val="22"/>
          <w:szCs w:val="22"/>
        </w:rPr>
        <w:t xml:space="preserve">Hokkaido's tourism economy has depended heavily on winter, with powder snow drawing international visitors to its ski regions and leaving substantial capacity underused for much of the year.</w:t>
      </w:r>
    </w:p>
    <w:p>
      <w:pPr>
        <w:spacing w:after="120" w:before="0" w:line="300"/>
        <w:jc w:val="both"/>
      </w:pPr>
      <w:r>
        <w:rPr>
          <w:rFonts w:ascii="Times New Roman" w:cs="Times New Roman" w:eastAsia="Times New Roman" w:hAnsi="Times New Roman"/>
          <w:color w:val="2E2E2E"/>
          <w:sz w:val="22"/>
          <w:szCs w:val="22"/>
        </w:rPr>
        <w:t xml:space="preserve">Summer offers lavender fields and cooler temperatures that attract domestic visitors escaping the heat further south, but the shoulder seasons have remained difficult to fill.</w:t>
      </w:r>
    </w:p>
    <w:p>
      <w:pPr>
        <w:spacing w:after="120" w:before="0" w:line="300"/>
        <w:jc w:val="both"/>
      </w:pPr>
      <w:r>
        <w:rPr>
          <w:rFonts w:ascii="Times New Roman" w:cs="Times New Roman" w:eastAsia="Times New Roman" w:hAnsi="Times New Roman"/>
          <w:color w:val="2E2E2E"/>
          <w:sz w:val="22"/>
          <w:szCs w:val="22"/>
        </w:rPr>
        <w:t xml:space="preserve">Themed accommodation carries no seasonal dependency, which is what makes it attractive to regional planners seeking to smooth demand across the calendar.</w:t>
      </w:r>
    </w:p>
    <w:p>
      <w:pPr>
        <w:spacing w:after="120" w:before="0" w:line="300"/>
        <w:jc w:val="both"/>
      </w:pPr>
      <w:r>
        <w:rPr>
          <w:rFonts w:ascii="Times New Roman" w:cs="Times New Roman" w:eastAsia="Times New Roman" w:hAnsi="Times New Roman"/>
          <w:color w:val="2E2E2E"/>
          <w:sz w:val="22"/>
          <w:szCs w:val="22"/>
        </w:rPr>
        <w:t xml:space="preserve">Tomakomai functions primarily as a port and industrial centre, with ferry connections to Honshu and a manufacturing base, rather than as a tourism destination.</w:t>
      </w:r>
    </w:p>
    <w:p>
      <w:pPr>
        <w:spacing w:after="120" w:before="0" w:line="300"/>
        <w:jc w:val="both"/>
      </w:pPr>
      <w:r>
        <w:rPr>
          <w:rFonts w:ascii="Times New Roman" w:cs="Times New Roman" w:eastAsia="Times New Roman" w:hAnsi="Times New Roman"/>
          <w:color w:val="2E2E2E"/>
          <w:sz w:val="22"/>
          <w:szCs w:val="22"/>
        </w:rPr>
        <w:t xml:space="preserve">Locating an attraction outside established circuits distributes visitor spending toward areas that have not previously captured it, which is generally the stated intention of such projects.</w:t>
      </w:r>
    </w:p>
    <w:p>
      <w:pPr>
        <w:spacing w:after="120" w:before="0" w:line="300"/>
        <w:jc w:val="both"/>
      </w:pPr>
      <w:r>
        <w:rPr>
          <w:rFonts w:ascii="Times New Roman" w:cs="Times New Roman" w:eastAsia="Times New Roman" w:hAnsi="Times New Roman"/>
          <w:color w:val="2E2E2E"/>
          <w:sz w:val="22"/>
          <w:szCs w:val="22"/>
        </w:rPr>
        <w:t xml:space="preserve">Whether a single property shifts regional patterns meaningfully will be visible in occupancy and local spending figures over the coming year.</w:t>
      </w:r>
    </w:p>
    <w:p>
      <w:pPr>
        <w:spacing w:after="200" w:before="40"/>
        <w:jc w:val="right"/>
      </w:pPr>
      <w:r>
        <w:rPr>
          <w:rFonts w:ascii="Helvetica" w:cs="Helvetica" w:eastAsia="Helvetica" w:hAnsi="Helvetica"/>
          <w:i/>
          <w:iCs/>
          <w:color w:val="888888"/>
          <w:sz w:val="16"/>
          <w:szCs w:val="16"/>
        </w:rPr>
        <w:t xml:space="preserve">[300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Why a Kabuki Actor Carried the Asian Games Torch</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Kankuro Nakamura's participation in Sunday's torch relay through Nagoya's Nakamura Ward continued a practice familiar in Japanese public ceremony, in which figures from traditional performing arts are woven into events whose substance lies elsewhere.</w:t>
      </w:r>
    </w:p>
    <w:p>
      <w:pPr>
        <w:spacing w:after="120" w:before="0" w:line="300"/>
        <w:jc w:val="both"/>
      </w:pPr>
      <w:r>
        <w:rPr>
          <w:rFonts w:ascii="Times New Roman" w:cs="Times New Roman" w:eastAsia="Times New Roman" w:hAnsi="Times New Roman"/>
          <w:color w:val="2E2E2E"/>
          <w:sz w:val="22"/>
          <w:szCs w:val="22"/>
        </w:rPr>
        <w:t xml:space="preserve">The Nakamura name belongs to one of kabuki's most prominent acting lineages, in which stage names pass through generations under a system of succession that formally marks each holder's place in the line.</w:t>
      </w:r>
    </w:p>
    <w:p>
      <w:pPr>
        <w:spacing w:after="120" w:before="0" w:line="300"/>
        <w:jc w:val="both"/>
      </w:pPr>
      <w:r>
        <w:rPr>
          <w:rFonts w:ascii="Times New Roman" w:cs="Times New Roman" w:eastAsia="Times New Roman" w:hAnsi="Times New Roman"/>
          <w:color w:val="2E2E2E"/>
          <w:sz w:val="22"/>
          <w:szCs w:val="22"/>
        </w:rPr>
        <w:t xml:space="preserve">That lineage gives a single performer a presence out of proportion to any individual role, since the name carries the accumulated association of every predecessor who held it.</w:t>
      </w:r>
    </w:p>
    <w:p>
      <w:pPr>
        <w:spacing w:after="120" w:before="0" w:line="300"/>
        <w:jc w:val="both"/>
      </w:pPr>
      <w:r>
        <w:rPr>
          <w:rFonts w:ascii="Times New Roman" w:cs="Times New Roman" w:eastAsia="Times New Roman" w:hAnsi="Times New Roman"/>
          <w:color w:val="2E2E2E"/>
          <w:sz w:val="22"/>
          <w:szCs w:val="22"/>
        </w:rPr>
        <w:t xml:space="preserve">Ceremonial appearances of this kind serve the events that host them by connecting an international competition to a distinctly Japanese cultural register, and they serve the art form by placing it before audiences who would not seek it out.</w:t>
      </w:r>
    </w:p>
    <w:p>
      <w:pPr>
        <w:spacing w:after="120" w:before="0" w:line="300"/>
        <w:jc w:val="both"/>
      </w:pPr>
      <w:r>
        <w:rPr>
          <w:rFonts w:ascii="Times New Roman" w:cs="Times New Roman" w:eastAsia="Times New Roman" w:hAnsi="Times New Roman"/>
          <w:color w:val="2E2E2E"/>
          <w:sz w:val="22"/>
          <w:szCs w:val="22"/>
        </w:rPr>
        <w:t xml:space="preserve">Kabuki has pursued that exposure deliberately for decades, through touring, through collaborations with contemporary media and through the periodic appearance of its leading actors in film and television.</w:t>
      </w:r>
    </w:p>
    <w:p>
      <w:pPr>
        <w:spacing w:after="120" w:before="0" w:line="300"/>
        <w:jc w:val="both"/>
      </w:pPr>
      <w:r>
        <w:rPr>
          <w:rFonts w:ascii="Times New Roman" w:cs="Times New Roman" w:eastAsia="Times New Roman" w:hAnsi="Times New Roman"/>
          <w:color w:val="2E2E2E"/>
          <w:sz w:val="22"/>
          <w:szCs w:val="22"/>
        </w:rPr>
        <w:t xml:space="preserve">The art form's economics depend on it. Kabuki sustains a large theatrical infrastructure and a training system that begins in childhood, and both require an audience that renews itself.</w:t>
      </w:r>
    </w:p>
    <w:p>
      <w:pPr>
        <w:spacing w:after="120" w:before="0" w:line="300"/>
        <w:jc w:val="both"/>
      </w:pPr>
      <w:r>
        <w:rPr>
          <w:rFonts w:ascii="Times New Roman" w:cs="Times New Roman" w:eastAsia="Times New Roman" w:hAnsi="Times New Roman"/>
          <w:color w:val="2E2E2E"/>
          <w:sz w:val="22"/>
          <w:szCs w:val="22"/>
        </w:rPr>
        <w:t xml:space="preserve">Nakamura Ward's name is a coincidence of geography rather than lineage, the district having been named long before the current relay, though organisers were doubtless aware of the resonance.</w:t>
      </w:r>
    </w:p>
    <w:p>
      <w:pPr>
        <w:spacing w:after="120" w:before="0" w:line="300"/>
        <w:jc w:val="both"/>
      </w:pPr>
      <w:r>
        <w:rPr>
          <w:rFonts w:ascii="Times New Roman" w:cs="Times New Roman" w:eastAsia="Times New Roman" w:hAnsi="Times New Roman"/>
          <w:color w:val="2E2E2E"/>
          <w:sz w:val="22"/>
          <w:szCs w:val="22"/>
        </w:rPr>
        <w:t xml:space="preserve">Torch relays have become the standard prelude to multi-sport games, and their routes and participants are chosen to say something about the host region beyond its capacity to stage competition.</w:t>
      </w:r>
    </w:p>
    <w:p>
      <w:pPr>
        <w:spacing w:after="120" w:before="0" w:line="300"/>
        <w:jc w:val="both"/>
      </w:pPr>
      <w:r>
        <w:rPr>
          <w:rFonts w:ascii="Times New Roman" w:cs="Times New Roman" w:eastAsia="Times New Roman" w:hAnsi="Times New Roman"/>
          <w:color w:val="2E2E2E"/>
          <w:sz w:val="22"/>
          <w:szCs w:val="22"/>
        </w:rPr>
        <w:t xml:space="preserve">Nagoya's own theatrical history includes established kabuki venues, and the city's role as Asian Games host has drawn on its cultural institutions alongside its industrial ones.</w:t>
      </w:r>
    </w:p>
    <w:p>
      <w:pPr>
        <w:spacing w:after="120" w:before="0" w:line="300"/>
        <w:jc w:val="both"/>
      </w:pPr>
      <w:r>
        <w:rPr>
          <w:rFonts w:ascii="Times New Roman" w:cs="Times New Roman" w:eastAsia="Times New Roman" w:hAnsi="Times New Roman"/>
          <w:color w:val="2E2E2E"/>
          <w:sz w:val="22"/>
          <w:szCs w:val="22"/>
        </w:rPr>
        <w:t xml:space="preserve">The relay's cultural elements will fade from attention once competition begins in earnest, which is the expected sequence and not a failure of the gesture.</w:t>
      </w:r>
    </w:p>
    <w:p>
      <w:pPr>
        <w:spacing w:after="120" w:before="0" w:line="300"/>
        <w:jc w:val="both"/>
      </w:pPr>
      <w:r>
        <w:rPr>
          <w:rFonts w:ascii="Times New Roman" w:cs="Times New Roman" w:eastAsia="Times New Roman" w:hAnsi="Times New Roman"/>
          <w:color w:val="2E2E2E"/>
          <w:sz w:val="22"/>
          <w:szCs w:val="22"/>
        </w:rPr>
        <w:t xml:space="preserve">What such appearances leave is a small addition to the public familiarity on which traditional arts depend, an accumulation measured over years rather than over a single afternoon.</w:t>
      </w:r>
    </w:p>
    <w:p>
      <w:pPr>
        <w:spacing w:after="200" w:before="40"/>
        <w:jc w:val="right"/>
      </w:pPr>
      <w:r>
        <w:rPr>
          <w:rFonts w:ascii="Helvetica" w:cs="Helvetica" w:eastAsia="Helvetica" w:hAnsi="Helvetica"/>
          <w:i/>
          <w:iCs/>
          <w:color w:val="888888"/>
          <w:sz w:val="16"/>
          <w:szCs w:val="16"/>
        </w:rPr>
        <w:t xml:space="preserve">[329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Higan: The Equinox Week and Its Customs</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The Autumn Equinox Day that anchors Silver Week is a public holiday with roots older than the modern calendar, and the week surrounding it carries observances that many households maintain regardless of the weather forecast.</w:t>
      </w:r>
    </w:p>
    <w:p>
      <w:pPr>
        <w:spacing w:after="120" w:before="0" w:line="300"/>
        <w:jc w:val="both"/>
      </w:pPr>
      <w:r>
        <w:rPr>
          <w:rFonts w:ascii="Times New Roman" w:cs="Times New Roman" w:eastAsia="Times New Roman" w:hAnsi="Times New Roman"/>
          <w:color w:val="2E2E2E"/>
          <w:sz w:val="22"/>
          <w:szCs w:val="22"/>
        </w:rPr>
        <w:t xml:space="preserve">Higan, the seven-day period centred on the equinox, is observed twice a year, in spring and autumn, and is associated with visits to family graves, the tidying of memorial sites and offerings to ancestors.</w:t>
      </w:r>
    </w:p>
    <w:p>
      <w:pPr>
        <w:spacing w:after="120" w:before="0" w:line="300"/>
        <w:jc w:val="both"/>
      </w:pPr>
      <w:r>
        <w:rPr>
          <w:rFonts w:ascii="Times New Roman" w:cs="Times New Roman" w:eastAsia="Times New Roman" w:hAnsi="Times New Roman"/>
          <w:color w:val="2E2E2E"/>
          <w:sz w:val="22"/>
          <w:szCs w:val="22"/>
        </w:rPr>
        <w:t xml:space="preserve">The word itself refers to the other shore, the far side of the river separating this world from the next in Buddhist imagery, and the equinox's balance of day and night has long been read as a moment of nearness between them.</w:t>
      </w:r>
    </w:p>
    <w:p>
      <w:pPr>
        <w:spacing w:after="120" w:before="0" w:line="300"/>
        <w:jc w:val="both"/>
      </w:pPr>
      <w:r>
        <w:rPr>
          <w:rFonts w:ascii="Times New Roman" w:cs="Times New Roman" w:eastAsia="Times New Roman" w:hAnsi="Times New Roman"/>
          <w:color w:val="2E2E2E"/>
          <w:sz w:val="22"/>
          <w:szCs w:val="22"/>
        </w:rPr>
        <w:t xml:space="preserve">Ohagi, sweet rice dumplings coated in red bean paste, are the food most associated with the autumn observance, their name derived from the bush clover that blooms in the season.</w:t>
      </w:r>
    </w:p>
    <w:p>
      <w:pPr>
        <w:spacing w:after="120" w:before="0" w:line="300"/>
        <w:jc w:val="both"/>
      </w:pPr>
      <w:r>
        <w:rPr>
          <w:rFonts w:ascii="Times New Roman" w:cs="Times New Roman" w:eastAsia="Times New Roman" w:hAnsi="Times New Roman"/>
          <w:color w:val="2E2E2E"/>
          <w:sz w:val="22"/>
          <w:szCs w:val="22"/>
        </w:rPr>
        <w:t xml:space="preserve">Grave visits typically involve cleaning the site, replacing flowers, lighting incense and a brief period of quiet, practices that vary in detail by region and by family but share a common shape.</w:t>
      </w:r>
    </w:p>
    <w:p>
      <w:pPr>
        <w:spacing w:after="120" w:before="0" w:line="300"/>
        <w:jc w:val="both"/>
      </w:pPr>
      <w:r>
        <w:rPr>
          <w:rFonts w:ascii="Times New Roman" w:cs="Times New Roman" w:eastAsia="Times New Roman" w:hAnsi="Times New Roman"/>
          <w:color w:val="2E2E2E"/>
          <w:sz w:val="22"/>
          <w:szCs w:val="22"/>
        </w:rPr>
        <w:t xml:space="preserve">Temples hold services during the period, and attendance at them is one of the ways in which households with limited engagement in religious life through the rest of the year maintain a connection to it.</w:t>
      </w:r>
    </w:p>
    <w:p>
      <w:pPr>
        <w:spacing w:after="120" w:before="0" w:line="300"/>
        <w:jc w:val="both"/>
      </w:pPr>
      <w:r>
        <w:rPr>
          <w:rFonts w:ascii="Times New Roman" w:cs="Times New Roman" w:eastAsia="Times New Roman" w:hAnsi="Times New Roman"/>
          <w:color w:val="2E2E2E"/>
          <w:sz w:val="22"/>
          <w:szCs w:val="22"/>
        </w:rPr>
        <w:t xml:space="preserve">The public holiday's formal name refers to reverence for ancestors and remembrance of the departed, language adopted after the war that preserved the observance's substance while removing its earlier imperial framing.</w:t>
      </w:r>
    </w:p>
    <w:p>
      <w:pPr>
        <w:spacing w:after="120" w:before="0" w:line="300"/>
        <w:jc w:val="both"/>
      </w:pPr>
      <w:r>
        <w:rPr>
          <w:rFonts w:ascii="Times New Roman" w:cs="Times New Roman" w:eastAsia="Times New Roman" w:hAnsi="Times New Roman"/>
          <w:color w:val="2E2E2E"/>
          <w:sz w:val="22"/>
          <w:szCs w:val="22"/>
        </w:rPr>
        <w:t xml:space="preserve">Silver Week's travel is often organised around a grave visit rather than around a leisure destination, which is why forecasts of poor weather reshape holiday plans less than they would in other countries.</w:t>
      </w:r>
    </w:p>
    <w:p>
      <w:pPr>
        <w:spacing w:after="120" w:before="0" w:line="300"/>
        <w:jc w:val="both"/>
      </w:pPr>
      <w:r>
        <w:rPr>
          <w:rFonts w:ascii="Times New Roman" w:cs="Times New Roman" w:eastAsia="Times New Roman" w:hAnsi="Times New Roman"/>
          <w:color w:val="2E2E2E"/>
          <w:sz w:val="22"/>
          <w:szCs w:val="22"/>
        </w:rPr>
        <w:t xml:space="preserve">Cemeteries and temple grounds see their heaviest visitor traffic of the year during the two higan periods, with municipalities in some areas arranging additional transport.</w:t>
      </w:r>
    </w:p>
    <w:p>
      <w:pPr>
        <w:spacing w:after="120" w:before="0" w:line="300"/>
        <w:jc w:val="both"/>
      </w:pPr>
      <w:r>
        <w:rPr>
          <w:rFonts w:ascii="Times New Roman" w:cs="Times New Roman" w:eastAsia="Times New Roman" w:hAnsi="Times New Roman"/>
          <w:color w:val="2E2E2E"/>
          <w:sz w:val="22"/>
          <w:szCs w:val="22"/>
        </w:rPr>
        <w:t xml:space="preserve">The equinox itself falls on a date the National Astronomical Observatory calculates and the government confirms each February, and it can shift by a day from year to year.</w:t>
      </w:r>
    </w:p>
    <w:p>
      <w:pPr>
        <w:spacing w:after="120" w:before="0" w:line="300"/>
        <w:jc w:val="both"/>
      </w:pPr>
      <w:r>
        <w:rPr>
          <w:rFonts w:ascii="Times New Roman" w:cs="Times New Roman" w:eastAsia="Times New Roman" w:hAnsi="Times New Roman"/>
          <w:color w:val="2E2E2E"/>
          <w:sz w:val="22"/>
          <w:szCs w:val="22"/>
        </w:rPr>
        <w:t xml:space="preserve">For families spread across the country by work and education, the equinox week is one of the fixed points at which reunion is expected, a function it shares with the New Year and with the summer Obon period.</w:t>
      </w:r>
    </w:p>
    <w:p>
      <w:pPr>
        <w:spacing w:after="200" w:before="40"/>
        <w:jc w:val="right"/>
      </w:pPr>
      <w:r>
        <w:rPr>
          <w:rFonts w:ascii="Helvetica" w:cs="Helvetica" w:eastAsia="Helvetica" w:hAnsi="Helvetica"/>
          <w:i/>
          <w:iCs/>
          <w:color w:val="888888"/>
          <w:sz w:val="16"/>
          <w:szCs w:val="16"/>
        </w:rPr>
        <w:t xml:space="preserve">[364 words]</w:t>
      </w:r>
    </w:p>
    <w:p>
      <w:pPr>
        <w:shd w:fill="0D1B2A" w:color="auto" w:val="clear"/>
        <w:spacing w:after="160" w:before="300"/>
        <w:jc w:val="center"/>
      </w:pPr>
      <w:r>
        <w:rPr>
          <w:rFonts w:ascii="Helvetica" w:cs="Helvetica" w:eastAsia="Helvetica" w:hAnsi="Helvetica"/>
          <w:b/>
          <w:bCs/>
          <w:color w:val="FFFFFF"/>
          <w:sz w:val="24"/>
          <w:szCs w:val="24"/>
        </w:rPr>
        <w:t xml:space="preserve">— EDITORIAL &amp; OPINION —</w:t>
      </w:r>
    </w:p>
    <w:p>
      <w:pPr>
        <w:pBdr>
          <w:top w:val="thick" w:color="9B1B2A" w:sz="18"/>
        </w:pBdr>
        <w:spacing w:after="80" w:before="160"/>
      </w:pPr>
      <w:r>
        <w:rPr>
          <w:rFonts w:ascii="Times New Roman" w:cs="Times New Roman" w:eastAsia="Times New Roman" w:hAnsi="Times New Roman"/>
          <w:b/>
          <w:bCs/>
          <w:color w:val="0D1B2A"/>
          <w:sz w:val="40"/>
          <w:szCs w:val="40"/>
        </w:rPr>
        <w:t xml:space="preserve">They Seized the Photograph. They Did Not Seize the Ocean.</w:t>
      </w:r>
    </w:p>
    <w:p>
      <w:pPr>
        <w:spacing w:after="40" w:before="40"/>
      </w:pPr>
      <w:r>
        <w:rPr>
          <w:rFonts w:ascii="Times New Roman" w:cs="Times New Roman" w:eastAsia="Times New Roman" w:hAnsi="Times New Roman"/>
          <w:i/>
          <w:iCs/>
          <w:color w:val="9B1B2A"/>
          <w:sz w:val="22"/>
          <w:szCs w:val="22"/>
        </w:rPr>
        <w:t xml:space="preserve">Taro Suzuki's cartoon draws the distinction between holding a rock and holding a sea lane. For an island nation that imports nearly everything it burns, the distinction is not academic</w:t>
      </w:r>
    </w:p>
    <w:p>
      <w:pPr>
        <w:pBdr>
          <w:bottom w:val="single" w:color="CCCCCC" w:sz="4"/>
        </w:pBdr>
        <w:spacing w:after="120" w:before="40"/>
      </w:pPr>
      <w:r>
        <w:rPr>
          <w:rFonts w:ascii="Helvetica" w:cs="Helvetica" w:eastAsia="Helvetica" w:hAnsi="Helvetica"/>
          <w:i/>
          <w:iCs/>
          <w:color w:val="888888"/>
          <w:sz w:val="18"/>
          <w:szCs w:val="18"/>
        </w:rPr>
        <w:t xml:space="preserve">By Samantha Ortiz | Editorial Page Editor</w:t>
      </w:r>
    </w:p>
    <w:p>
      <w:pPr>
        <w:spacing w:after="120" w:before="0" w:line="300"/>
        <w:jc w:val="both"/>
      </w:pPr>
      <w:r>
        <w:rPr>
          <w:rFonts w:ascii="Times New Roman" w:cs="Times New Roman" w:eastAsia="Times New Roman" w:hAnsi="Times New Roman"/>
          <w:color w:val="2E2E2E"/>
          <w:sz w:val="22"/>
          <w:szCs w:val="22"/>
        </w:rPr>
        <w:t xml:space="preserve">Taro Suzuki's cartoon this morning is built around a single act of arithmetic that the men in the picture have not performed. Two small islands sit in the centre of the frame, flags planted, a sign reading "WE OWN THE GATE" driven into the rock. Around them, in the dotted circle, the cartoonist has written the terms of the problem: isolated terrain, no navy, no logistics. Off to the right, two officers raise their glasses to "CHOKEPOINT VICTORY," beside a placard reading "HEADLINES TODAY. HOLDABILITY TOMORROW." A hand at the top of the frame, labelled AIR AND SEA POWER, is lifting a net over the whole scene. In the lower corner, a small map titled "TWO GATES, ONE PROBLEM" shows Hormuz contested and Bab el-Mandeb flagged, under a line that does most of the work: two rocks do not make a navy. The caption underneath is the argument in a sentence. They seized the photograph. They did not seize the ocean.</w:t>
      </w:r>
    </w:p>
    <w:p>
      <w:pPr>
        <w:spacing w:after="120" w:before="0" w:line="300"/>
        <w:jc w:val="both"/>
      </w:pPr>
      <w:r>
        <w:rPr>
          <w:rFonts w:ascii="Times New Roman" w:cs="Times New Roman" w:eastAsia="Times New Roman" w:hAnsi="Times New Roman"/>
          <w:color w:val="2E2E2E"/>
          <w:sz w:val="22"/>
          <w:szCs w:val="22"/>
        </w:rPr>
        <w:t xml:space="preserve">The distinction Suzuki is drawing deserves to be taken seriously, because it is the distinction that separates a symbolic act from a strategic one, and because a great deal of commentary about maritime chokepoints collapses the two.</w:t>
      </w:r>
    </w:p>
    <w:p>
      <w:pPr>
        <w:spacing w:after="120" w:before="0" w:line="300"/>
        <w:jc w:val="both"/>
      </w:pPr>
      <w:r>
        <w:rPr>
          <w:rFonts w:ascii="Times New Roman" w:cs="Times New Roman" w:eastAsia="Times New Roman" w:hAnsi="Times New Roman"/>
          <w:color w:val="2E2E2E"/>
          <w:sz w:val="22"/>
          <w:szCs w:val="22"/>
        </w:rPr>
        <w:t xml:space="preserve">Seizing an island in a strait produces an image. The image is genuinely valuable to whoever produces it, and it is valuable in a currency that is real: domestic legitimacy, the appearance of initiative, a photograph that circulates. None of that requires holding the island for long, and some of it does not require holding the island at all.</w:t>
      </w:r>
    </w:p>
    <w:p>
      <w:pPr>
        <w:spacing w:after="120" w:before="0" w:line="300"/>
        <w:jc w:val="both"/>
      </w:pPr>
      <w:r>
        <w:rPr>
          <w:rFonts w:ascii="Times New Roman" w:cs="Times New Roman" w:eastAsia="Times New Roman" w:hAnsi="Times New Roman"/>
          <w:color w:val="2E2E2E"/>
          <w:sz w:val="22"/>
          <w:szCs w:val="22"/>
        </w:rPr>
        <w:t xml:space="preserve">Closing a strait is a different undertaking entirely. It requires the ability to detect, target and engage shipping continuously, to replace what you expend, to protect the platforms doing the work, and to keep doing all of it while an adversary with air and sea power does everything in its capacity to stop you. That is a fleet's job, and a sustained one. It is not a flag's job.</w:t>
      </w:r>
    </w:p>
    <w:p>
      <w:pPr>
        <w:spacing w:after="120" w:before="0" w:line="300"/>
        <w:jc w:val="both"/>
      </w:pPr>
      <w:r>
        <w:rPr>
          <w:rFonts w:ascii="Times New Roman" w:cs="Times New Roman" w:eastAsia="Times New Roman" w:hAnsi="Times New Roman"/>
          <w:color w:val="2E2E2E"/>
          <w:sz w:val="22"/>
          <w:szCs w:val="22"/>
        </w:rPr>
        <w:t xml:space="preserve">This is why the net at the top of the cartoon matters compositionally. It is being drawn over the islands from above and outside, by a hand that is not on the rocks at all. Isolated terrain without resupply is not a fortress. It is a position that can be watched, bypassed, interdicted or, in the cartoonist's image, simply lifted out of the water.</w:t>
      </w:r>
    </w:p>
    <w:p>
      <w:pPr>
        <w:spacing w:after="120" w:before="0" w:line="300"/>
        <w:jc w:val="both"/>
      </w:pPr>
      <w:r>
        <w:rPr>
          <w:rFonts w:ascii="Times New Roman" w:cs="Times New Roman" w:eastAsia="Times New Roman" w:hAnsi="Times New Roman"/>
          <w:color w:val="2E2E2E"/>
          <w:sz w:val="22"/>
          <w:szCs w:val="22"/>
        </w:rPr>
        <w:t xml:space="preserve">The scale in the lower centre states the trade directly: occupying a bullseye on one side, occupying a fortress on the other. A garrison on a bare island in a contested strait has placed itself at a known coordinate with no depth, no dispersal and no supply line, which is the definition of the former rather than the latter.</w:t>
      </w:r>
    </w:p>
    <w:p>
      <w:pPr>
        <w:spacing w:after="120" w:before="0" w:line="300"/>
        <w:jc w:val="both"/>
      </w:pPr>
      <w:r>
        <w:rPr>
          <w:rFonts w:ascii="Times New Roman" w:cs="Times New Roman" w:eastAsia="Times New Roman" w:hAnsi="Times New Roman"/>
          <w:color w:val="2E2E2E"/>
          <w:sz w:val="22"/>
          <w:szCs w:val="22"/>
        </w:rPr>
        <w:t xml:space="preserve">Where this argument requires care, and where readers should be more demanding than a cartoon has room to be, is in not letting the correct observation about holdability slide into a false conclusion about consequence. Suzuki is right that two rocks do not make a navy. He is not saying, and neither should anyone else, that the seizure is therefore inconsequential.</w:t>
      </w:r>
    </w:p>
    <w:p>
      <w:pPr>
        <w:spacing w:after="120" w:before="0" w:line="300"/>
        <w:jc w:val="both"/>
      </w:pPr>
      <w:r>
        <w:rPr>
          <w:rFonts w:ascii="Times New Roman" w:cs="Times New Roman" w:eastAsia="Times New Roman" w:hAnsi="Times New Roman"/>
          <w:color w:val="2E2E2E"/>
          <w:sz w:val="22"/>
          <w:szCs w:val="22"/>
        </w:rPr>
        <w:t xml:space="preserve">The rest of the cartoon's own composition says as much. On the left side of the frame sit the oil market, hesitating, a tanker holding position, a diesel pump and a shopping cart labelled price shock inbound. Those elements are not decoration. They are the mechanism by which an act that fails militarily succeeds economically.</w:t>
      </w:r>
    </w:p>
    <w:p>
      <w:pPr>
        <w:spacing w:after="120" w:before="0" w:line="300"/>
        <w:jc w:val="both"/>
      </w:pPr>
      <w:r>
        <w:rPr>
          <w:rFonts w:ascii="Times New Roman" w:cs="Times New Roman" w:eastAsia="Times New Roman" w:hAnsi="Times New Roman"/>
          <w:color w:val="2E2E2E"/>
          <w:sz w:val="22"/>
          <w:szCs w:val="22"/>
        </w:rPr>
        <w:t xml:space="preserve">Shipping does not require a strait to be closed in order to behave as though it might be. It requires only that the probability of loss rise enough to change the calculation on war-risk insurance premiums, routing decisions and charter rates. Those adjust on perceived risk, not on demonstrated capability, and they adjust immediately.</w:t>
      </w:r>
    </w:p>
    <w:p>
      <w:pPr>
        <w:spacing w:after="120" w:before="0" w:line="300"/>
        <w:jc w:val="both"/>
      </w:pPr>
      <w:r>
        <w:rPr>
          <w:rFonts w:ascii="Times New Roman" w:cs="Times New Roman" w:eastAsia="Times New Roman" w:hAnsi="Times New Roman"/>
          <w:color w:val="2E2E2E"/>
          <w:sz w:val="22"/>
          <w:szCs w:val="22"/>
        </w:rPr>
        <w:t xml:space="preserve">A tanker holding position outside a chokepoint is not evidence that anyone has taken the ocean. It is evidence that someone has made the ocean expensive, which is a lesser achievement militarily and a considerable one economically. The two officers toasting in the corner may be celebrating the wrong thing, but that does not mean nothing happened.</w:t>
      </w:r>
    </w:p>
    <w:p>
      <w:pPr>
        <w:spacing w:after="120" w:before="0" w:line="300"/>
        <w:jc w:val="both"/>
      </w:pPr>
      <w:r>
        <w:rPr>
          <w:rFonts w:ascii="Times New Roman" w:cs="Times New Roman" w:eastAsia="Times New Roman" w:hAnsi="Times New Roman"/>
          <w:color w:val="2E2E2E"/>
          <w:sz w:val="22"/>
          <w:szCs w:val="22"/>
        </w:rPr>
        <w:t xml:space="preserve">For Japan this distinction is the entire practical question, and it resolves in an uncomfortable direction. A country that imports nearly all of the crude it burns is not primarily exposed to whether a strait is closed. It is exposed to what the freight and insurance markets do while the question remains open.</w:t>
      </w:r>
    </w:p>
    <w:p>
      <w:pPr>
        <w:spacing w:after="120" w:before="0" w:line="300"/>
        <w:jc w:val="both"/>
      </w:pPr>
      <w:r>
        <w:rPr>
          <w:rFonts w:ascii="Times New Roman" w:cs="Times New Roman" w:eastAsia="Times New Roman" w:hAnsi="Times New Roman"/>
          <w:color w:val="2E2E2E"/>
          <w:sz w:val="22"/>
          <w:szCs w:val="22"/>
        </w:rPr>
        <w:t xml:space="preserve">The numbers in the news pages this week make the point without needing an editorial to make it for them. Crude has held above $100 a barrel. Saudi Arabia's East-West pipeline, the route that lets Saudi exports bypass Hormuz entirely, is expected to need three to five weeks to restore. American long-term yields briefly crossed 5% on oil-driven bond selling. The Bank of Japan meets this week with energy costs sitting squarely in its inflation calculus.</w:t>
      </w:r>
    </w:p>
    <w:p>
      <w:pPr>
        <w:spacing w:after="120" w:before="0" w:line="300"/>
        <w:jc w:val="both"/>
      </w:pPr>
      <w:r>
        <w:rPr>
          <w:rFonts w:ascii="Times New Roman" w:cs="Times New Roman" w:eastAsia="Times New Roman" w:hAnsi="Times New Roman"/>
          <w:color w:val="2E2E2E"/>
          <w:sz w:val="22"/>
          <w:szCs w:val="22"/>
        </w:rPr>
        <w:t xml:space="preserve">None of those figures required anyone to successfully close a strait. They required only sustained uncertainty about whether someone might, which is precisely the condition the cartoon's two rocks are sufficient to produce and insufficient to resolve.</w:t>
      </w:r>
    </w:p>
    <w:p>
      <w:pPr>
        <w:spacing w:after="120" w:before="0" w:line="300"/>
        <w:jc w:val="both"/>
      </w:pPr>
      <w:r>
        <w:rPr>
          <w:rFonts w:ascii="Times New Roman" w:cs="Times New Roman" w:eastAsia="Times New Roman" w:hAnsi="Times New Roman"/>
          <w:color w:val="2E2E2E"/>
          <w:sz w:val="22"/>
          <w:szCs w:val="22"/>
        </w:rPr>
        <w:t xml:space="preserve">That asymmetry is the strategic problem, and it is worth stating plainly because it cuts against the reassurance the cartoon's caption might otherwise offer. The cost of producing the uncertainty is low. The cost of removing it is high. A handful of fighters on a bare island can generate a risk premium that a coalition of navies must then spend months and considerable money to talk the market back out of.</w:t>
      </w:r>
    </w:p>
    <w:p>
      <w:pPr>
        <w:spacing w:after="120" w:before="0" w:line="300"/>
        <w:jc w:val="both"/>
      </w:pPr>
      <w:r>
        <w:rPr>
          <w:rFonts w:ascii="Times New Roman" w:cs="Times New Roman" w:eastAsia="Times New Roman" w:hAnsi="Times New Roman"/>
          <w:color w:val="2E2E2E"/>
          <w:sz w:val="22"/>
          <w:szCs w:val="22"/>
        </w:rPr>
        <w:t xml:space="preserve">Japan's response to that asymmetry cannot sensibly be to argue about whether the rocks are holdable. They are not, and the cartoon is right about that. The response has to address the exposure that exists whether or not the rocks are held, which means the unglamorous inventory of energy security: strategic reserves, supply diversification, and the domestic generating capacity that determines how much imported fuel the country needs to buy at whatever price the market has been frightened into.</w:t>
      </w:r>
    </w:p>
    <w:p>
      <w:pPr>
        <w:spacing w:after="120" w:before="0" w:line="300"/>
        <w:jc w:val="both"/>
      </w:pPr>
      <w:r>
        <w:rPr>
          <w:rFonts w:ascii="Times New Roman" w:cs="Times New Roman" w:eastAsia="Times New Roman" w:hAnsi="Times New Roman"/>
          <w:color w:val="2E2E2E"/>
          <w:sz w:val="22"/>
          <w:szCs w:val="22"/>
        </w:rPr>
        <w:t xml:space="preserve">Which brings the argument home, awkwardly, to the news pages. On the same morning that a cartoon points out how cheaply someone can raise Japan's energy costs from two thousand miles away, the front page carries a utility withdrawing a nuclear restart application because its own seismic data could not be trusted, and an investigation report describing a culture convinced it was right.</w:t>
      </w:r>
    </w:p>
    <w:p>
      <w:pPr>
        <w:spacing w:after="120" w:before="0" w:line="300"/>
        <w:jc w:val="both"/>
      </w:pPr>
      <w:r>
        <w:rPr>
          <w:rFonts w:ascii="Times New Roman" w:cs="Times New Roman" w:eastAsia="Times New Roman" w:hAnsi="Times New Roman"/>
          <w:color w:val="2E2E2E"/>
          <w:sz w:val="22"/>
          <w:szCs w:val="22"/>
        </w:rPr>
        <w:t xml:space="preserve">Those two stories are not related in any direct sense. They are related in the only sense that matters for policy. Every month a reactor sits idle is a month of buying fuel at prices set by events in the Gulf, and Japan's ability to shorten that exposure depends on a restart programme whose credibility its own operators have just damaged.</w:t>
      </w:r>
    </w:p>
    <w:p>
      <w:pPr>
        <w:spacing w:after="120" w:before="0" w:line="300"/>
        <w:jc w:val="both"/>
      </w:pPr>
      <w:r>
        <w:rPr>
          <w:rFonts w:ascii="Times New Roman" w:cs="Times New Roman" w:eastAsia="Times New Roman" w:hAnsi="Times New Roman"/>
          <w:color w:val="2E2E2E"/>
          <w:sz w:val="22"/>
          <w:szCs w:val="22"/>
        </w:rPr>
        <w:t xml:space="preserve">A reasonable objection to everything argued here runs as follows: if the rocks cannot be held and the economic effect is temporary, then the correct response is patience rather than expenditure. Markets normalise. Insurance premiums fall once incidents stop. Waiting costs less than escorting.</w:t>
      </w:r>
    </w:p>
    <w:p>
      <w:pPr>
        <w:spacing w:after="120" w:before="0" w:line="300"/>
        <w:jc w:val="both"/>
      </w:pPr>
      <w:r>
        <w:rPr>
          <w:rFonts w:ascii="Times New Roman" w:cs="Times New Roman" w:eastAsia="Times New Roman" w:hAnsi="Times New Roman"/>
          <w:color w:val="2E2E2E"/>
          <w:sz w:val="22"/>
          <w:szCs w:val="22"/>
        </w:rPr>
        <w:t xml:space="preserve">That objection has force in the abstract and fails on the specifics, for two reasons. The first is duration. Risk premiums decay slowly and reset instantly, meaning a single fresh incident restores in a day what months of quiet had gradually unwound. A party that can generate incidents cheaply can therefore keep a premium elevated almost indefinitely at trivial cost, which is not a situation patience resolves.</w:t>
      </w:r>
    </w:p>
    <w:p>
      <w:pPr>
        <w:spacing w:after="120" w:before="0" w:line="300"/>
        <w:jc w:val="both"/>
      </w:pPr>
      <w:r>
        <w:rPr>
          <w:rFonts w:ascii="Times New Roman" w:cs="Times New Roman" w:eastAsia="Times New Roman" w:hAnsi="Times New Roman"/>
          <w:color w:val="2E2E2E"/>
          <w:sz w:val="22"/>
          <w:szCs w:val="22"/>
        </w:rPr>
        <w:t xml:space="preserve">The second is that the cost of waiting is not distributed evenly. It falls hardest on the economies most dependent on the affected route, which among advanced economies means Japan more than almost anyone. Counselling patience is easier from a country that produces its own energy than from one that imports nearly all of it.</w:t>
      </w:r>
    </w:p>
    <w:p>
      <w:pPr>
        <w:spacing w:after="120" w:before="0" w:line="300"/>
        <w:jc w:val="both"/>
      </w:pPr>
      <w:r>
        <w:rPr>
          <w:rFonts w:ascii="Times New Roman" w:cs="Times New Roman" w:eastAsia="Times New Roman" w:hAnsi="Times New Roman"/>
          <w:color w:val="2E2E2E"/>
          <w:sz w:val="22"/>
          <w:szCs w:val="22"/>
        </w:rPr>
        <w:t xml:space="preserve">There is also a question of precedent that a purely economic framing misses. A seizure that produces a sustained price effect and draws no meaningful response teaches a lesson that others will learn. The specific rocks in the cartoon matter less than whether the method is shown to work, and the method is considerably cheaper to replicate than to deter.</w:t>
      </w:r>
    </w:p>
    <w:p>
      <w:pPr>
        <w:spacing w:after="120" w:before="0" w:line="300"/>
        <w:jc w:val="both"/>
      </w:pPr>
      <w:r>
        <w:rPr>
          <w:rFonts w:ascii="Times New Roman" w:cs="Times New Roman" w:eastAsia="Times New Roman" w:hAnsi="Times New Roman"/>
          <w:color w:val="2E2E2E"/>
          <w:sz w:val="22"/>
          <w:szCs w:val="22"/>
        </w:rPr>
        <w:t xml:space="preserve">None of which argues for overreaction. Treating a symbolic seizure as though it were an actual closure would hand the party that made it a larger victory than the act itself achieved, which is precisely the error the cartoon is warning against. The distinction Suzuki draws is the right one to hold onto: respond to what was actually done, at the scale at which it was actually done.</w:t>
      </w:r>
    </w:p>
    <w:p>
      <w:pPr>
        <w:spacing w:after="120" w:before="0" w:line="300"/>
        <w:jc w:val="both"/>
      </w:pPr>
      <w:r>
        <w:rPr>
          <w:rFonts w:ascii="Times New Roman" w:cs="Times New Roman" w:eastAsia="Times New Roman" w:hAnsi="Times New Roman"/>
          <w:color w:val="2E2E2E"/>
          <w:sz w:val="22"/>
          <w:szCs w:val="22"/>
        </w:rPr>
        <w:t xml:space="preserve">What was actually done was to make a sea lane feel more dangerous than it is. The appropriate answer is to make it feel as safe as it actually is, through presence and information, while separately reducing how much the country's economy depends on that feeling being correct.</w:t>
      </w:r>
    </w:p>
    <w:p>
      <w:pPr>
        <w:spacing w:after="120" w:before="0" w:line="300"/>
        <w:jc w:val="both"/>
      </w:pPr>
      <w:r>
        <w:rPr>
          <w:rFonts w:ascii="Times New Roman" w:cs="Times New Roman" w:eastAsia="Times New Roman" w:hAnsi="Times New Roman"/>
          <w:color w:val="2E2E2E"/>
          <w:sz w:val="22"/>
          <w:szCs w:val="22"/>
        </w:rPr>
        <w:t xml:space="preserve">Japan has spent the past seven months learning what its exposure costs. The pipeline repair timeline reported this week, three to five weeks for the route that lets Saudi crude bypass Hormuz entirely, is one more reminder that the alternatives to the contested strait are fewer and more fragile than the map suggests.</w:t>
      </w:r>
    </w:p>
    <w:p>
      <w:pPr>
        <w:spacing w:after="120" w:before="0" w:line="300"/>
        <w:jc w:val="both"/>
      </w:pPr>
      <w:r>
        <w:rPr>
          <w:rFonts w:ascii="Times New Roman" w:cs="Times New Roman" w:eastAsia="Times New Roman" w:hAnsi="Times New Roman"/>
          <w:color w:val="2E2E2E"/>
          <w:sz w:val="22"/>
          <w:szCs w:val="22"/>
        </w:rPr>
        <w:t xml:space="preserve">That is the argument the small inset map in the cartoon's lower corner is making. Two gates, one problem. A country that must pass through both, and controls neither, has no serious option except to need less of what comes through them.</w:t>
      </w:r>
    </w:p>
    <w:p>
      <w:pPr>
        <w:spacing w:after="120" w:before="0" w:line="300"/>
        <w:jc w:val="both"/>
      </w:pPr>
      <w:r>
        <w:rPr>
          <w:rFonts w:ascii="Times New Roman" w:cs="Times New Roman" w:eastAsia="Times New Roman" w:hAnsi="Times New Roman"/>
          <w:color w:val="2E2E2E"/>
          <w:sz w:val="22"/>
          <w:szCs w:val="22"/>
        </w:rPr>
        <w:t xml:space="preserve">The men in the cartoon seized a photograph. Japan's vulnerability is not that they might seize the ocean, because they cannot. It is that a photograph is sufficient to move the price of everything an island nation imports, and that the work of reducing that exposure is being done, at present, considerably less well than it might be.</w:t>
      </w:r>
    </w:p>
    <w:p>
      <w:pPr>
        <w:spacing w:after="120" w:before="0" w:line="300"/>
        <w:jc w:val="both"/>
      </w:pPr>
      <w:r>
        <w:rPr>
          <w:rFonts w:ascii="Times New Roman" w:cs="Times New Roman" w:eastAsia="Times New Roman" w:hAnsi="Times New Roman"/>
          <w:color w:val="2E2E2E"/>
          <w:sz w:val="22"/>
          <w:szCs w:val="22"/>
        </w:rPr>
        <w:t xml:space="preserve">It is worth spending a moment on why chokepoint seizures keep recurring despite failing on their own military terms, because the pattern is old enough to have a literature. Narrow waters have attracted this kind of gesture for as long as there have been navies, and the gesture keeps being made because it is cheap, visible and difficult for the other side to ignore. The Strait of Hormuz has seen mining, tanker attacks and seizures across four decades without ever being closed for any sustained period. In none of those cases did the party making the attempt possess the sustained naval capability that actual closure would require, and in none of them did that absence prevent the attempt from producing effects.</w:t>
      </w:r>
    </w:p>
    <w:p>
      <w:pPr>
        <w:spacing w:after="120" w:before="0" w:line="300"/>
        <w:jc w:val="both"/>
      </w:pPr>
      <w:r>
        <w:rPr>
          <w:rFonts w:ascii="Times New Roman" w:cs="Times New Roman" w:eastAsia="Times New Roman" w:hAnsi="Times New Roman"/>
          <w:color w:val="2E2E2E"/>
          <w:sz w:val="22"/>
          <w:szCs w:val="22"/>
        </w:rPr>
        <w:t xml:space="preserve">The effects it produces are worth naming precisely, because they are not military. War-risk insurance premiums for vessels transiting an affected strait rise within days of an incident, and they rise on assessed probability rather than demonstrated capability. Charter rates follow. Some operators reroute, accepting the fuel and time cost of a longer passage, and the ones who continue transiting price the risk into what they charge. Every one of those adjustments lands on the importing economy at the far end of the voyage, which in this case is Japan.</w:t>
      </w:r>
    </w:p>
    <w:p>
      <w:pPr>
        <w:spacing w:after="120" w:before="0" w:line="300"/>
        <w:jc w:val="both"/>
      </w:pPr>
      <w:r>
        <w:rPr>
          <w:rFonts w:ascii="Times New Roman" w:cs="Times New Roman" w:eastAsia="Times New Roman" w:hAnsi="Times New Roman"/>
          <w:color w:val="2E2E2E"/>
          <w:sz w:val="22"/>
          <w:szCs w:val="22"/>
        </w:rPr>
        <w:t xml:space="preserve">There is a further layer that the cartoon captures in its small detail and that deserves explicit statement. The bottle labelled chokepoint victory sitting on the officers' table carries a date, and the placard beside them distinguishes headlines today from holdability tomorrow. Suzuki is making a point about time horizons. The seizure pays out immediately in the currency of attention and pays nothing at all in the currency of sustained control, and the party making it may well understand that perfectly and consider the trade worthwhile.</w:t>
      </w:r>
    </w:p>
    <w:p>
      <w:pPr>
        <w:spacing w:after="120" w:before="0" w:line="300"/>
        <w:jc w:val="both"/>
      </w:pPr>
      <w:r>
        <w:rPr>
          <w:rFonts w:ascii="Times New Roman" w:cs="Times New Roman" w:eastAsia="Times New Roman" w:hAnsi="Times New Roman"/>
          <w:color w:val="2E2E2E"/>
          <w:sz w:val="22"/>
          <w:szCs w:val="22"/>
        </w:rPr>
        <w:t xml:space="preserve">If that is right, then arguing about holdability misses what the action was for. A garrison placed on a bare rock to generate a photograph has not made a military error by failing to hold the rock. It has made a rational allocation of a small quantity of force toward a non-military objective, and responding as though the objective were territorial control means responding to the wrong thing.</w:t>
      </w:r>
    </w:p>
    <w:p>
      <w:pPr>
        <w:spacing w:after="120" w:before="0" w:line="300"/>
        <w:jc w:val="both"/>
      </w:pPr>
      <w:r>
        <w:rPr>
          <w:rFonts w:ascii="Times New Roman" w:cs="Times New Roman" w:eastAsia="Times New Roman" w:hAnsi="Times New Roman"/>
          <w:color w:val="2E2E2E"/>
          <w:sz w:val="22"/>
          <w:szCs w:val="22"/>
        </w:rPr>
        <w:t xml:space="preserve">The correct response addresses the economic mechanism rather than the rock. That means naval escort and presence sufficient to restore insurers' confidence, which is a task measured in months of sustained deployment rather than in a single clearing operation. It means transparency about actual transit conditions, since the risk premium responds to perceived danger and perception is influenced by information. And it means, for an importing country, reducing the quantity of exposure that any given risk premium applies to.</w:t>
      </w:r>
    </w:p>
    <w:p>
      <w:pPr>
        <w:spacing w:after="120" w:before="0" w:line="300"/>
        <w:jc w:val="both"/>
      </w:pPr>
      <w:r>
        <w:rPr>
          <w:rFonts w:ascii="Times New Roman" w:cs="Times New Roman" w:eastAsia="Times New Roman" w:hAnsi="Times New Roman"/>
          <w:color w:val="2E2E2E"/>
          <w:sz w:val="22"/>
          <w:szCs w:val="22"/>
        </w:rPr>
        <w:t xml:space="preserve">That last item is where Japanese policy has the most control and has used it least well. Strategic petroleum reserves buffer a supply interruption but do not insulate against a sustained price level, since reserves are drawn down and must eventually be replaced at whatever the market then charges. Supply diversification helps, and Japan has pursued it, though the geography of oil production limits how far any importer can diversify away from the Gulf.</w:t>
      </w:r>
    </w:p>
    <w:p>
      <w:pPr>
        <w:spacing w:after="120" w:before="0" w:line="300"/>
        <w:jc w:val="both"/>
      </w:pPr>
      <w:r>
        <w:rPr>
          <w:rFonts w:ascii="Times New Roman" w:cs="Times New Roman" w:eastAsia="Times New Roman" w:hAnsi="Times New Roman"/>
          <w:color w:val="2E2E2E"/>
          <w:sz w:val="22"/>
          <w:szCs w:val="22"/>
        </w:rPr>
        <w:t xml:space="preserve">Domestic generating capacity is the variable with the largest effect and the slowest response time. Every gigawatt Japan generates without imported fuel is a gigawatt insulated from whatever happens in a strait eight thousand kilometres away. That is the argument for nuclear restarts on energy security grounds, independent of the separate climate case for them.</w:t>
      </w:r>
    </w:p>
    <w:p>
      <w:pPr>
        <w:spacing w:after="120" w:before="0" w:line="300"/>
        <w:jc w:val="both"/>
      </w:pPr>
      <w:r>
        <w:rPr>
          <w:rFonts w:ascii="Times New Roman" w:cs="Times New Roman" w:eastAsia="Times New Roman" w:hAnsi="Times New Roman"/>
          <w:color w:val="2E2E2E"/>
          <w:sz w:val="22"/>
          <w:szCs w:val="22"/>
        </w:rPr>
        <w:t xml:space="preserve">Which is why the Hamaoka case lands as badly as it does. The restart programme is the principal instrument available for reducing exactly the exposure the cartoon illustrates, and its credibility depends entirely on the public and the regulator being able to trust utility-submitted safety data. A confirmed falsification case does not merely delay one plant. It supplies every opponent of every restart with a concrete, documented reason for scepticism, and it does so at the precise moment when the security argument for restarts was at its strongest.</w:t>
      </w:r>
    </w:p>
    <w:p>
      <w:pPr>
        <w:spacing w:after="120" w:before="0" w:line="300"/>
        <w:jc w:val="both"/>
      </w:pPr>
      <w:r>
        <w:rPr>
          <w:rFonts w:ascii="Times New Roman" w:cs="Times New Roman" w:eastAsia="Times New Roman" w:hAnsi="Times New Roman"/>
          <w:color w:val="2E2E2E"/>
          <w:sz w:val="22"/>
          <w:szCs w:val="22"/>
        </w:rPr>
        <w:t xml:space="preserve">There is an uncomfortable symmetry between the two stories. The cartoon's officers claim a capability they do not possess in order to produce an appearance of control. A utility, according to its own investigation committee, operated from a conviction that it was right and treated data that disagreed as a problem to be managed. Both are failures of the same general type: a preference for the appearance of a settled answer over the discipline of an unsettled one.</w:t>
      </w:r>
    </w:p>
    <w:p>
      <w:pPr>
        <w:spacing w:after="120" w:before="0" w:line="300"/>
        <w:jc w:val="both"/>
      </w:pPr>
      <w:r>
        <w:rPr>
          <w:rFonts w:ascii="Times New Roman" w:cs="Times New Roman" w:eastAsia="Times New Roman" w:hAnsi="Times New Roman"/>
          <w:color w:val="2E2E2E"/>
          <w:sz w:val="22"/>
          <w:szCs w:val="22"/>
        </w:rPr>
        <w:t xml:space="preserve">The difference is that Japan can do nothing about the first and a great deal about the second. Tokyo cannot prevent a foreign force from planting a flag on a rock, and should not organise its energy policy around the hope that no one will. It can determine whether its own institutions produce data that can be relied upon, and it has just demonstrated, expensively, that this cannot be taken for granted.</w:t>
      </w:r>
    </w:p>
    <w:p>
      <w:pPr>
        <w:spacing w:after="120" w:before="0" w:line="300"/>
        <w:jc w:val="both"/>
      </w:pPr>
      <w:r>
        <w:rPr>
          <w:rFonts w:ascii="Times New Roman" w:cs="Times New Roman" w:eastAsia="Times New Roman" w:hAnsi="Times New Roman"/>
          <w:color w:val="2E2E2E"/>
          <w:sz w:val="22"/>
          <w:szCs w:val="22"/>
        </w:rPr>
        <w:t xml:space="preserve">Suzuki's caption is correct, and the correction it offers to chokepoint triumphalism is a useful one. But the reassurance in it is narrower than it first appears. The ocean is not seizable. The price of crossing it, unfortunately, is.</w:t>
      </w:r>
    </w:p>
    <w:p>
      <w:pPr>
        <w:spacing w:after="120" w:before="0" w:line="300"/>
        <w:jc w:val="both"/>
      </w:pPr>
      <w:r>
        <w:rPr>
          <w:rFonts w:ascii="Times New Roman" w:cs="Times New Roman" w:eastAsia="Times New Roman" w:hAnsi="Times New Roman"/>
          <w:color w:val="2E2E2E"/>
          <w:sz w:val="22"/>
          <w:szCs w:val="22"/>
        </w:rPr>
        <w:t xml:space="preserve">There is a further point in the cartoon's composition that rewards attention, and it concerns who is not in the picture. The hand at the top of the frame, labelled air and sea power, has no face, no flag and no nationality. Suzuki has drawn the counterweight to the seizure as an abstraction rather than as a particular navy.</w:t>
      </w:r>
    </w:p>
    <w:p>
      <w:pPr>
        <w:spacing w:after="120" w:before="0" w:line="300"/>
        <w:jc w:val="both"/>
      </w:pPr>
      <w:r>
        <w:rPr>
          <w:rFonts w:ascii="Times New Roman" w:cs="Times New Roman" w:eastAsia="Times New Roman" w:hAnsi="Times New Roman"/>
          <w:color w:val="2E2E2E"/>
          <w:sz w:val="22"/>
          <w:szCs w:val="22"/>
        </w:rPr>
        <w:t xml:space="preserve">That is either an evasion or a precise observation, and on balance it reads as the latter. The capability that makes two rocks untenable is distributed across several countries' fleets and air forces, none of which individually guarantees the sea lane and all of which contribute to the assessment that it cannot be closed.</w:t>
      </w:r>
    </w:p>
    <w:p>
      <w:pPr>
        <w:spacing w:after="120" w:before="0" w:line="300"/>
        <w:jc w:val="both"/>
      </w:pPr>
      <w:r>
        <w:rPr>
          <w:rFonts w:ascii="Times New Roman" w:cs="Times New Roman" w:eastAsia="Times New Roman" w:hAnsi="Times New Roman"/>
          <w:color w:val="2E2E2E"/>
          <w:sz w:val="22"/>
          <w:szCs w:val="22"/>
        </w:rPr>
        <w:t xml:space="preserve">Japan's own contribution to that distributed capability is real but constrained, consisting principally of Maritime Self-Defense Force escort activity conducted under legal authorities that have been debated domestically for as long as the deployments have existed.</w:t>
      </w:r>
    </w:p>
    <w:p>
      <w:pPr>
        <w:spacing w:after="120" w:before="0" w:line="300"/>
        <w:jc w:val="both"/>
      </w:pPr>
      <w:r>
        <w:rPr>
          <w:rFonts w:ascii="Times New Roman" w:cs="Times New Roman" w:eastAsia="Times New Roman" w:hAnsi="Times New Roman"/>
          <w:color w:val="2E2E2E"/>
          <w:sz w:val="22"/>
          <w:szCs w:val="22"/>
        </w:rPr>
        <w:t xml:space="preserve">Those constraints are not merely legal formalities. They determine what Japanese vessels may do when a third-country merchant ship is threatened, a question that has produced considerable parliamentary argument and that remains less settled than allied planning assumptions sometimes suppose.</w:t>
      </w:r>
    </w:p>
    <w:p>
      <w:pPr>
        <w:spacing w:after="120" w:before="0" w:line="300"/>
        <w:jc w:val="both"/>
      </w:pPr>
      <w:r>
        <w:rPr>
          <w:rFonts w:ascii="Times New Roman" w:cs="Times New Roman" w:eastAsia="Times New Roman" w:hAnsi="Times New Roman"/>
          <w:color w:val="2E2E2E"/>
          <w:sz w:val="22"/>
          <w:szCs w:val="22"/>
        </w:rPr>
        <w:t xml:space="preserve">A country whose economy depends on sea lanes it cannot unilaterally secure has two options, and only two. It can contribute enough to a collective capability to have standing in how that capability is used, or it can reduce its dependence on the lanes. Sensible policy pursues both, and Japan has pursued the first more energetically than the second.</w:t>
      </w:r>
    </w:p>
    <w:p>
      <w:pPr>
        <w:spacing w:after="120" w:before="0" w:line="300"/>
        <w:jc w:val="both"/>
      </w:pPr>
      <w:r>
        <w:rPr>
          <w:rFonts w:ascii="Times New Roman" w:cs="Times New Roman" w:eastAsia="Times New Roman" w:hAnsi="Times New Roman"/>
          <w:color w:val="2E2E2E"/>
          <w:sz w:val="22"/>
          <w:szCs w:val="22"/>
        </w:rPr>
        <w:t xml:space="preserve">The second is where the Hamaoka case does its damage. Domestic generating capacity is the only instrument fully within Japanese control, and the restart programme is the main route to more of it. A falsification scandal does not merely delay one plant; it makes the entire programme harder to defend politically at the moment the security argument for it is strongest.</w:t>
      </w:r>
    </w:p>
    <w:p>
      <w:pPr>
        <w:spacing w:after="120" w:before="0" w:line="300"/>
        <w:jc w:val="both"/>
      </w:pPr>
      <w:r>
        <w:rPr>
          <w:rFonts w:ascii="Times New Roman" w:cs="Times New Roman" w:eastAsia="Times New Roman" w:hAnsi="Times New Roman"/>
          <w:color w:val="2E2E2E"/>
          <w:sz w:val="22"/>
          <w:szCs w:val="22"/>
        </w:rPr>
        <w:t xml:space="preserve">None of this makes the cartoon's men correct. They have not taken the ocean and cannot. But the gap between what they achieved militarily and what they achieved economically is the whole lesson, and it is a lesson about Japanese vulnerability rather than about their competence.</w:t>
      </w:r>
    </w:p>
    <w:p>
      <w:pPr>
        <w:spacing w:after="200" w:before="40"/>
        <w:jc w:val="right"/>
      </w:pPr>
      <w:r>
        <w:rPr>
          <w:rFonts w:ascii="Helvetica" w:cs="Helvetica" w:eastAsia="Helvetica" w:hAnsi="Helvetica"/>
          <w:i/>
          <w:iCs/>
          <w:color w:val="888888"/>
          <w:sz w:val="16"/>
          <w:szCs w:val="16"/>
        </w:rPr>
        <w:t xml:space="preserve">[2,816 words]</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WEATHER &amp; ENVIRONMENT —</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TOKYO METROPOLITAN AREA — Tuesday, September 15, 2026</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Morning: Rain arriving, intensifying in places during the commute. Around 20°C at 7 a.m. Sunrise 5:23 a.m.</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Afternoon: Rain and intermittent cloud with thunderstorms possible. High 27°C, down from around 32°C on Monday.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Evening: Cloudy with further showers, easing toward 22°C by 9 p.m. Sunset 5:49 p.m.</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Overnight: Cloudy, low 18°C.</w:t>
      </w:r>
    </w:p>
    <w:p>
      <w:pPr>
        <w:spacing w:after="80" w:before="200"/>
      </w:pPr>
      <w:r>
        <w:rPr>
          <w:rFonts w:ascii="Helvetica" w:cs="Helvetica" w:eastAsia="Helvetica" w:hAnsi="Helvetica"/>
          <w:b/>
          <w:bCs/>
          <w:color w:val="0D1B2A"/>
          <w:sz w:val="22"/>
          <w:szCs w:val="22"/>
        </w:rPr>
        <w:t xml:space="preserve">NATIONAL OVERVIEW</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The autumn rain front is stalled near Honshu, bringing rain across a wide area from western Japan through to Tohoku, with locally heavy falls accompanied by thunderstorms. The Kanto region sees the sharpest change from Monday's clear skies, with Tokyo's high falling to 27°C. Western Japan and Kyushu stay warmer under the front's southern edge. Hokkaido is the exception, with conditions improving and more sunny intervals. Temperatures are expected to drop further on the 16th, and cloudy, rainy weather is likely to persist through Silver Week.</w:t>
      </w:r>
    </w:p>
    <w:p>
      <w:pPr>
        <w:spacing w:after="80" w:before="200"/>
      </w:pPr>
      <w:r>
        <w:rPr>
          <w:rFonts w:ascii="Helvetica" w:cs="Helvetica" w:eastAsia="Helvetica" w:hAnsi="Helvetica"/>
          <w:b/>
          <w:bCs/>
          <w:color w:val="0D1B2A"/>
          <w:sz w:val="22"/>
          <w:szCs w:val="22"/>
        </w:rPr>
        <w:t xml:space="preserve">UV INDEX &amp; AIR QUALITY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UV Index: 3 (Moderate) in Tokyo under cloud and rain. Air Quality Index: Good nationwide, assisted by rainfall. Pollen: Negligible.</w:t>
      </w:r>
    </w:p>
    <w:p>
      <w:pPr>
        <w:spacing w:after="80" w:before="200"/>
      </w:pPr>
      <w:r>
        <w:rPr>
          <w:rFonts w:ascii="Helvetica" w:cs="Helvetica" w:eastAsia="Helvetica" w:hAnsi="Helvetica"/>
          <w:b/>
          <w:bCs/>
          <w:color w:val="0D1B2A"/>
          <w:sz w:val="22"/>
          <w:szCs w:val="22"/>
        </w:rPr>
        <w:t xml:space="preserve">TODAY'S HIGH / LOW BY REGION (°C)</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Hokkaido — Sapporo 24/15, Asahikawa 23/11, Kushiro 21/12, Hakodate 22/16: the clearest conditions in the country, with sunny intervals expected and the coolest nights nationally.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Tohoku — Aomori 25/17, Morioka 25/16, Akita 26/18, Sendai 27/19, Fukushima 28/18: intermittent rain, with landslide and flooding vigilance advised.</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Chubu &amp; Hokuriku — Niigata 27/20, Toyama 28/20, Kanazawa 28/20, Nagano 27/16, Nagoya 31/22: unsettled, with rain through much of the day and Nagoya the region's warmest reading.</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Kanto — Utsunomiya 29/18, Tokyo 27/18, Yokohama 27/20, Shizuoka 30/21: a sharp turn from Monday's clear skies to rain and cloud, with thunderstorms in places and a drop of several degrees in the capital.</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Kansai — Kyoto 29/19, Kobe 30/22, Osaka 31/22: rain over a wide area, mainly in the morning.</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Shikoku — Matsuyama 29/21, Tokushima 29/21: unstable, with thunderstorm risk.</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Chugoku &amp; Kyushu — Hiroshima 31/22, Kitakyushu 29/22, Fukuoka 28/23, Nagasaki 28/23, Kumamoto 29/21, Miyazaki 31/23, Kagoshima 31/24: rain mainly in the morning, with Sea of Japan-side areas seeing it stop during the afternoon.</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Okinawa — Naha 30/26, Ishigaki 31/27: warm and humid, largely outside the front's influence.</w:t>
      </w:r>
    </w:p>
    <w:p>
      <w:pPr>
        <w:spacing w:after="80" w:before="200"/>
      </w:pPr>
      <w:r>
        <w:rPr>
          <w:rFonts w:ascii="Helvetica" w:cs="Helvetica" w:eastAsia="Helvetica" w:hAnsi="Helvetica"/>
          <w:b/>
          <w:bCs/>
          <w:color w:val="0D1B2A"/>
          <w:sz w:val="22"/>
          <w:szCs w:val="22"/>
        </w:rPr>
        <w:t xml:space="preserve">SEVEN-DAY EXTENDED FORECAST FOR TOKYO</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Wednesday, Sept. 16: High 25°C, low 18°C. Cloudy with rain. Temperatures drop further. Bank of Japan's two-day meeting begins.</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Thursday, Sept. 17: High 25°C, low 18°C. Cloudy, showers possible. Cabinet reshuffle expected. Federal Reserve decision due.</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Friday, Sept. 18: High 24°C, low 18°C. Cloudy. Bank of Japan policy decision expected.</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Saturday, Sept. 19: High 24°C, low 17°C. Cloudy with periods of rain.</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Sunday, Sept. 20: High 24°C, low 17°C. Cloudy.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Monday, Sept. 21: High 23°C, low 17°C. Cloudy with rain at times. Respect for the Aged 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Tuesday, Sept. 22: High 23°C, low 17°C. Cloudy.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EXTENDED OUTLOOK (September 16-22)</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The stalled autumn front is expected to keep unsettled conditions in place across much of Honshu through the coming week, with cloud and rain likely to persist through Silver Week. Temperatures continue easing from the late-summer levels that held through the first half of September, and Tokyo's highs are now expected to remain in the low-to-mid 20s. Ground saturation in Tohoku and along the Sea of Japan coast warrants continued attention to landslide and flooding advisories.</w:t>
      </w:r>
    </w:p>
    <w:p>
      <w:pPr>
        <w:spacing w:after="80" w:before="200"/>
      </w:pPr>
      <w:r>
        <w:rPr>
          <w:rFonts w:ascii="Helvetica" w:cs="Helvetica" w:eastAsia="Helvetica" w:hAnsi="Helvetica"/>
          <w:b/>
          <w:bCs/>
          <w:color w:val="0D1B2A"/>
          <w:sz w:val="22"/>
          <w:szCs w:val="22"/>
        </w:rPr>
        <w:t xml:space="preserve">AUTUMN RAIN FRONT</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The seasonal front responsible for Japan's early-autumn wet period remains stationary near Honshu. A stalled front delivers more cumulative rainfall to the same areas than one progressing at normal pace, since the same locations sit under rain-producing conditions repeatedly. Forecasters have not indicated when the front will begin moving through.</w:t>
      </w:r>
    </w:p>
    <w:p>
      <w:pPr>
        <w:spacing w:after="80" w:before="200"/>
      </w:pPr>
      <w:r>
        <w:rPr>
          <w:rFonts w:ascii="Helvetica" w:cs="Helvetica" w:eastAsia="Helvetica" w:hAnsi="Helvetica"/>
          <w:b/>
          <w:bCs/>
          <w:color w:val="0D1B2A"/>
          <w:sz w:val="22"/>
          <w:szCs w:val="22"/>
        </w:rPr>
        <w:t xml:space="preserve">ALMANAC</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Today's sunrise: 5:23 a.m. Today's sunset: 5:49 p.m. Day length: 12 hours, 26 minutes, shortening by roughly two minutes daily as the autumnal equinox approaches next week. Moon phase: Waxing crescent. Tokyo Bay tide times: high tide 11:24 a.m. and 11:51 p.m.; low tide 5:18 p.m. Barometric pressure: 1009 hPa, falling.</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CROSSWORD PUZZLE —</w:t>
      </w:r>
    </w:p>
    <w:p>
      <w:pPr>
        <w:spacing w:after="160" w:before="40"/>
        <w:jc w:val="left"/>
      </w:pPr>
      <w:r>
        <w:rPr>
          <w:rFonts w:ascii="Times New Roman" w:cs="Times New Roman" w:eastAsia="Times New Roman" w:hAnsi="Times New Roman"/>
          <w:b w:val="false"/>
          <w:bCs w:val="false"/>
          <w:i/>
          <w:iCs/>
          <w:color w:val="888888"/>
          <w:sz w:val="18"/>
          <w:szCs w:val="18"/>
        </w:rPr>
        <w:t xml:space="preserve">Today's professional puzzle — constructed by James O'Neill — 61 words — 31×31 grid.</w:t>
      </w:r>
    </w:p>
    <w:p>
      <w:pPr>
        <w:spacing w:after="80" w:before="200"/>
      </w:pPr>
      <w:r>
        <w:rPr>
          <w:rFonts w:ascii="Helvetica" w:cs="Helvetica" w:eastAsia="Helvetica" w:hAnsi="Helvetica"/>
          <w:b/>
          <w:bCs/>
          <w:color w:val="0D1B2A"/>
          <w:sz w:val="22"/>
          <w:szCs w:val="22"/>
        </w:rPr>
        <w:t xml:space="preserve">ACROSS</w:t>
      </w:r>
    </w:p>
    <w:p>
      <w:pPr>
        <w:spacing w:after="20" w:before="20"/>
      </w:pPr>
      <w:r>
        <w:rPr>
          <w:rFonts w:ascii="Helvetica" w:cs="Helvetica" w:eastAsia="Helvetica" w:hAnsi="Helvetica"/>
          <w:b/>
          <w:bCs/>
          <w:color w:val="0D1B2A"/>
          <w:sz w:val="19"/>
          <w:szCs w:val="19"/>
        </w:rPr>
        <w:t xml:space="preserve">3. </w:t>
      </w:r>
      <w:r>
        <w:rPr>
          <w:rFonts w:ascii="Times New Roman" w:cs="Times New Roman" w:eastAsia="Times New Roman" w:hAnsi="Times New Roman"/>
          <w:color w:val="2E2E2E"/>
          <w:sz w:val="19"/>
          <w:szCs w:val="19"/>
        </w:rPr>
        <w:t xml:space="preserve">Franchise turning thirty (7)</w:t>
      </w:r>
    </w:p>
    <w:p>
      <w:pPr>
        <w:spacing w:after="20" w:before="20"/>
      </w:pPr>
      <w:r>
        <w:rPr>
          <w:rFonts w:ascii="Helvetica" w:cs="Helvetica" w:eastAsia="Helvetica" w:hAnsi="Helvetica"/>
          <w:b/>
          <w:bCs/>
          <w:color w:val="0D1B2A"/>
          <w:sz w:val="19"/>
          <w:szCs w:val="19"/>
        </w:rPr>
        <w:t xml:space="preserve">6. </w:t>
      </w:r>
      <w:r>
        <w:rPr>
          <w:rFonts w:ascii="Times New Roman" w:cs="Times New Roman" w:eastAsia="Times New Roman" w:hAnsi="Times New Roman"/>
          <w:color w:val="2E2E2E"/>
          <w:sz w:val="19"/>
          <w:szCs w:val="19"/>
        </w:rPr>
        <w:t xml:space="preserve">Contested strait in today's cartoon (6)</w:t>
      </w:r>
    </w:p>
    <w:p>
      <w:pPr>
        <w:spacing w:after="20" w:before="20"/>
      </w:pPr>
      <w:r>
        <w:rPr>
          <w:rFonts w:ascii="Helvetica" w:cs="Helvetica" w:eastAsia="Helvetica" w:hAnsi="Helvetica"/>
          <w:b/>
          <w:bCs/>
          <w:color w:val="0D1B2A"/>
          <w:sz w:val="19"/>
          <w:szCs w:val="19"/>
        </w:rPr>
        <w:t xml:space="preserve">8. </w:t>
      </w:r>
      <w:r>
        <w:rPr>
          <w:rFonts w:ascii="Times New Roman" w:cs="Times New Roman" w:eastAsia="Times New Roman" w:hAnsi="Times New Roman"/>
          <w:color w:val="2E2E2E"/>
          <w:sz w:val="19"/>
          <w:szCs w:val="19"/>
        </w:rPr>
        <w:t xml:space="preserve">Ryogoku sumo venue (9)</w:t>
      </w:r>
    </w:p>
    <w:p>
      <w:pPr>
        <w:spacing w:after="20" w:before="20"/>
      </w:pPr>
      <w:r>
        <w:rPr>
          <w:rFonts w:ascii="Helvetica" w:cs="Helvetica" w:eastAsia="Helvetica" w:hAnsi="Helvetica"/>
          <w:b/>
          <w:bCs/>
          <w:color w:val="0D1B2A"/>
          <w:sz w:val="19"/>
          <w:szCs w:val="19"/>
        </w:rPr>
        <w:t xml:space="preserve">14. </w:t>
      </w:r>
      <w:r>
        <w:rPr>
          <w:rFonts w:ascii="Times New Roman" w:cs="Times New Roman" w:eastAsia="Times New Roman" w:hAnsi="Times New Roman"/>
          <w:color w:val="2E2E2E"/>
          <w:sz w:val="19"/>
          <w:szCs w:val="19"/>
        </w:rPr>
        <w:t xml:space="preserve">Shinto sacred site (6)</w:t>
      </w:r>
    </w:p>
    <w:p>
      <w:pPr>
        <w:spacing w:after="20" w:before="20"/>
      </w:pPr>
      <w:r>
        <w:rPr>
          <w:rFonts w:ascii="Helvetica" w:cs="Helvetica" w:eastAsia="Helvetica" w:hAnsi="Helvetica"/>
          <w:b/>
          <w:bCs/>
          <w:color w:val="0D1B2A"/>
          <w:sz w:val="19"/>
          <w:szCs w:val="19"/>
        </w:rPr>
        <w:t xml:space="preserve">16. </w:t>
      </w:r>
      <w:r>
        <w:rPr>
          <w:rFonts w:ascii="Times New Roman" w:cs="Times New Roman" w:eastAsia="Times New Roman" w:hAnsi="Times New Roman"/>
          <w:color w:val="2E2E2E"/>
          <w:sz w:val="19"/>
          <w:szCs w:val="19"/>
        </w:rPr>
        <w:t xml:space="preserve">Event with a new 68.92m national record (7)</w:t>
      </w:r>
    </w:p>
    <w:p>
      <w:pPr>
        <w:spacing w:after="20" w:before="20"/>
      </w:pPr>
      <w:r>
        <w:rPr>
          <w:rFonts w:ascii="Helvetica" w:cs="Helvetica" w:eastAsia="Helvetica" w:hAnsi="Helvetica"/>
          <w:b/>
          <w:bCs/>
          <w:color w:val="0D1B2A"/>
          <w:sz w:val="19"/>
          <w:szCs w:val="19"/>
        </w:rPr>
        <w:t xml:space="preserve">18. </w:t>
      </w:r>
      <w:r>
        <w:rPr>
          <w:rFonts w:ascii="Times New Roman" w:cs="Times New Roman" w:eastAsia="Times New Roman" w:hAnsi="Times New Roman"/>
          <w:color w:val="2E2E2E"/>
          <w:sz w:val="19"/>
          <w:szCs w:val="19"/>
        </w:rPr>
        <w:t xml:space="preserve">Firm postponing its listing this year (6)</w:t>
      </w:r>
    </w:p>
    <w:p>
      <w:pPr>
        <w:spacing w:after="20" w:before="20"/>
      </w:pPr>
      <w:r>
        <w:rPr>
          <w:rFonts w:ascii="Helvetica" w:cs="Helvetica" w:eastAsia="Helvetica" w:hAnsi="Helvetica"/>
          <w:b/>
          <w:bCs/>
          <w:color w:val="0D1B2A"/>
          <w:sz w:val="19"/>
          <w:szCs w:val="19"/>
        </w:rPr>
        <w:t xml:space="preserve">20. </w:t>
      </w:r>
      <w:r>
        <w:rPr>
          <w:rFonts w:ascii="Times New Roman" w:cs="Times New Roman" w:eastAsia="Times New Roman" w:hAnsi="Times New Roman"/>
          <w:color w:val="2E2E2E"/>
          <w:sz w:val="19"/>
          <w:szCs w:val="19"/>
        </w:rPr>
        <w:t xml:space="preserve">Japan's women's football side, 8-0 winners (9)</w:t>
      </w:r>
    </w:p>
    <w:p>
      <w:pPr>
        <w:spacing w:after="20" w:before="20"/>
      </w:pPr>
      <w:r>
        <w:rPr>
          <w:rFonts w:ascii="Helvetica" w:cs="Helvetica" w:eastAsia="Helvetica" w:hAnsi="Helvetica"/>
          <w:b/>
          <w:bCs/>
          <w:color w:val="0D1B2A"/>
          <w:sz w:val="19"/>
          <w:szCs w:val="19"/>
        </w:rPr>
        <w:t xml:space="preserve">23. </w:t>
      </w:r>
      <w:r>
        <w:rPr>
          <w:rFonts w:ascii="Times New Roman" w:cs="Times New Roman" w:eastAsia="Times New Roman" w:hAnsi="Times New Roman"/>
          <w:color w:val="2E2E2E"/>
          <w:sz w:val="19"/>
          <w:szCs w:val="19"/>
        </w:rPr>
        <w:t xml:space="preserve">Dodger resuming batting Tuesday (6)</w:t>
      </w:r>
    </w:p>
    <w:p>
      <w:pPr>
        <w:spacing w:after="20" w:before="20"/>
      </w:pPr>
      <w:r>
        <w:rPr>
          <w:rFonts w:ascii="Helvetica" w:cs="Helvetica" w:eastAsia="Helvetica" w:hAnsi="Helvetica"/>
          <w:b/>
          <w:bCs/>
          <w:color w:val="0D1B2A"/>
          <w:sz w:val="19"/>
          <w:szCs w:val="19"/>
        </w:rPr>
        <w:t xml:space="preserve">24. </w:t>
      </w:r>
      <w:r>
        <w:rPr>
          <w:rFonts w:ascii="Times New Roman" w:cs="Times New Roman" w:eastAsia="Times New Roman" w:hAnsi="Times New Roman"/>
          <w:color w:val="2E2E2E"/>
          <w:sz w:val="19"/>
          <w:szCs w:val="19"/>
        </w:rPr>
        <w:t xml:space="preserve">What briefly topped 5% in the US (5)</w:t>
      </w:r>
    </w:p>
    <w:p>
      <w:pPr>
        <w:spacing w:after="20" w:before="20"/>
      </w:pPr>
      <w:r>
        <w:rPr>
          <w:rFonts w:ascii="Helvetica" w:cs="Helvetica" w:eastAsia="Helvetica" w:hAnsi="Helvetica"/>
          <w:b/>
          <w:bCs/>
          <w:color w:val="0D1B2A"/>
          <w:sz w:val="19"/>
          <w:szCs w:val="19"/>
        </w:rPr>
        <w:t xml:space="preserve">28. </w:t>
      </w:r>
      <w:r>
        <w:rPr>
          <w:rFonts w:ascii="Times New Roman" w:cs="Times New Roman" w:eastAsia="Times New Roman" w:hAnsi="Times New Roman"/>
          <w:color w:val="2E2E2E"/>
          <w:sz w:val="19"/>
          <w:szCs w:val="19"/>
        </w:rPr>
        <w:t xml:space="preserve">Roki ___, possible returnee against the Reds (6)</w:t>
      </w:r>
    </w:p>
    <w:p>
      <w:pPr>
        <w:spacing w:after="20" w:before="20"/>
      </w:pPr>
      <w:r>
        <w:rPr>
          <w:rFonts w:ascii="Helvetica" w:cs="Helvetica" w:eastAsia="Helvetica" w:hAnsi="Helvetica"/>
          <w:b/>
          <w:bCs/>
          <w:color w:val="0D1B2A"/>
          <w:sz w:val="19"/>
          <w:szCs w:val="19"/>
        </w:rPr>
        <w:t xml:space="preserve">30. </w:t>
      </w:r>
      <w:r>
        <w:rPr>
          <w:rFonts w:ascii="Times New Roman" w:cs="Times New Roman" w:eastAsia="Times New Roman" w:hAnsi="Times New Roman"/>
          <w:color w:val="2E2E2E"/>
          <w:sz w:val="19"/>
          <w:szCs w:val="19"/>
        </w:rPr>
        <w:t xml:space="preserve">Storm type of the season (7)</w:t>
      </w:r>
    </w:p>
    <w:p>
      <w:pPr>
        <w:spacing w:after="20" w:before="20"/>
      </w:pPr>
      <w:r>
        <w:rPr>
          <w:rFonts w:ascii="Helvetica" w:cs="Helvetica" w:eastAsia="Helvetica" w:hAnsi="Helvetica"/>
          <w:b/>
          <w:bCs/>
          <w:color w:val="0D1B2A"/>
          <w:sz w:val="19"/>
          <w:szCs w:val="19"/>
        </w:rPr>
        <w:t xml:space="preserve">31. </w:t>
      </w:r>
      <w:r>
        <w:rPr>
          <w:rFonts w:ascii="Times New Roman" w:cs="Times New Roman" w:eastAsia="Times New Roman" w:hAnsi="Times New Roman"/>
          <w:color w:val="2E2E2E"/>
          <w:sz w:val="19"/>
          <w:szCs w:val="19"/>
        </w:rPr>
        <w:t xml:space="preserve">___ Electric, utility whose leaders resigned Monday (5)</w:t>
      </w:r>
    </w:p>
    <w:p>
      <w:pPr>
        <w:spacing w:after="20" w:before="20"/>
      </w:pPr>
      <w:r>
        <w:rPr>
          <w:rFonts w:ascii="Helvetica" w:cs="Helvetica" w:eastAsia="Helvetica" w:hAnsi="Helvetica"/>
          <w:b/>
          <w:bCs/>
          <w:color w:val="0D1B2A"/>
          <w:sz w:val="19"/>
          <w:szCs w:val="19"/>
        </w:rPr>
        <w:t xml:space="preserve">32. </w:t>
      </w:r>
      <w:r>
        <w:rPr>
          <w:rFonts w:ascii="Times New Roman" w:cs="Times New Roman" w:eastAsia="Times New Roman" w:hAnsi="Times New Roman"/>
          <w:color w:val="2E2E2E"/>
          <w:sz w:val="19"/>
          <w:szCs w:val="19"/>
        </w:rPr>
        <w:t xml:space="preserve">___ tax on food, cut from 8% to 1% (11)</w:t>
      </w:r>
    </w:p>
    <w:p>
      <w:pPr>
        <w:spacing w:after="20" w:before="20"/>
      </w:pPr>
      <w:r>
        <w:rPr>
          <w:rFonts w:ascii="Helvetica" w:cs="Helvetica" w:eastAsia="Helvetica" w:hAnsi="Helvetica"/>
          <w:b/>
          <w:bCs/>
          <w:color w:val="0D1B2A"/>
          <w:sz w:val="19"/>
          <w:szCs w:val="19"/>
        </w:rPr>
        <w:t xml:space="preserve">33. </w:t>
      </w:r>
      <w:r>
        <w:rPr>
          <w:rFonts w:ascii="Times New Roman" w:cs="Times New Roman" w:eastAsia="Times New Roman" w:hAnsi="Times New Roman"/>
          <w:color w:val="2E2E2E"/>
          <w:sz w:val="19"/>
          <w:szCs w:val="19"/>
        </w:rPr>
        <w:t xml:space="preserve">Commodity holding above $100 (5)</w:t>
      </w:r>
    </w:p>
    <w:p>
      <w:pPr>
        <w:spacing w:after="20" w:before="20"/>
      </w:pPr>
      <w:r>
        <w:rPr>
          <w:rFonts w:ascii="Helvetica" w:cs="Helvetica" w:eastAsia="Helvetica" w:hAnsi="Helvetica"/>
          <w:b/>
          <w:bCs/>
          <w:color w:val="0D1B2A"/>
          <w:sz w:val="19"/>
          <w:szCs w:val="19"/>
        </w:rPr>
        <w:t xml:space="preserve">34. </w:t>
      </w:r>
      <w:r>
        <w:rPr>
          <w:rFonts w:ascii="Times New Roman" w:cs="Times New Roman" w:eastAsia="Times New Roman" w:hAnsi="Times New Roman"/>
          <w:color w:val="2E2E2E"/>
          <w:sz w:val="19"/>
          <w:szCs w:val="19"/>
        </w:rPr>
        <w:t xml:space="preserve">Index closing at 63,492.99 (6)</w:t>
      </w:r>
    </w:p>
    <w:p>
      <w:pPr>
        <w:spacing w:after="20" w:before="20"/>
      </w:pPr>
      <w:r>
        <w:rPr>
          <w:rFonts w:ascii="Helvetica" w:cs="Helvetica" w:eastAsia="Helvetica" w:hAnsi="Helvetica"/>
          <w:b/>
          <w:bCs/>
          <w:color w:val="0D1B2A"/>
          <w:sz w:val="19"/>
          <w:szCs w:val="19"/>
        </w:rPr>
        <w:t xml:space="preserve">37. </w:t>
      </w:r>
      <w:r>
        <w:rPr>
          <w:rFonts w:ascii="Times New Roman" w:cs="Times New Roman" w:eastAsia="Times New Roman" w:hAnsi="Times New Roman"/>
          <w:color w:val="2E2E2E"/>
          <w:sz w:val="19"/>
          <w:szCs w:val="19"/>
        </w:rPr>
        <w:t xml:space="preserve">Hokkaido city with a ball-shaped hotel (9)</w:t>
      </w:r>
    </w:p>
    <w:p>
      <w:pPr>
        <w:spacing w:after="20" w:before="20"/>
      </w:pPr>
      <w:r>
        <w:rPr>
          <w:rFonts w:ascii="Helvetica" w:cs="Helvetica" w:eastAsia="Helvetica" w:hAnsi="Helvetica"/>
          <w:b/>
          <w:bCs/>
          <w:color w:val="0D1B2A"/>
          <w:sz w:val="19"/>
          <w:szCs w:val="19"/>
        </w:rPr>
        <w:t xml:space="preserve">39. </w:t>
      </w:r>
      <w:r>
        <w:rPr>
          <w:rFonts w:ascii="Times New Roman" w:cs="Times New Roman" w:eastAsia="Times New Roman" w:hAnsi="Times New Roman"/>
          <w:color w:val="2E2E2E"/>
          <w:sz w:val="19"/>
          <w:szCs w:val="19"/>
        </w:rPr>
        <w:t xml:space="preserve">___ Week, facing a wet forecast (6)</w:t>
      </w:r>
    </w:p>
    <w:p>
      <w:pPr>
        <w:spacing w:after="20" w:before="20"/>
      </w:pPr>
      <w:r>
        <w:rPr>
          <w:rFonts w:ascii="Helvetica" w:cs="Helvetica" w:eastAsia="Helvetica" w:hAnsi="Helvetica"/>
          <w:b/>
          <w:bCs/>
          <w:color w:val="0D1B2A"/>
          <w:sz w:val="19"/>
          <w:szCs w:val="19"/>
        </w:rPr>
        <w:t xml:space="preserve">40. </w:t>
      </w:r>
      <w:r>
        <w:rPr>
          <w:rFonts w:ascii="Times New Roman" w:cs="Times New Roman" w:eastAsia="Times New Roman" w:hAnsi="Times New Roman"/>
          <w:color w:val="2E2E2E"/>
          <w:sz w:val="19"/>
          <w:szCs w:val="19"/>
        </w:rPr>
        <w:t xml:space="preserve">Tournament running to the 27th (5)</w:t>
      </w:r>
    </w:p>
    <w:p>
      <w:pPr>
        <w:spacing w:after="20" w:before="20"/>
      </w:pPr>
      <w:r>
        <w:rPr>
          <w:rFonts w:ascii="Helvetica" w:cs="Helvetica" w:eastAsia="Helvetica" w:hAnsi="Helvetica"/>
          <w:b/>
          <w:bCs/>
          <w:color w:val="0D1B2A"/>
          <w:sz w:val="19"/>
          <w:szCs w:val="19"/>
        </w:rPr>
        <w:t xml:space="preserve">42. </w:t>
      </w:r>
      <w:r>
        <w:rPr>
          <w:rFonts w:ascii="Times New Roman" w:cs="Times New Roman" w:eastAsia="Times New Roman" w:hAnsi="Times New Roman"/>
          <w:color w:val="2E2E2E"/>
          <w:sz w:val="19"/>
          <w:szCs w:val="19"/>
        </w:rPr>
        <w:t xml:space="preserve">Japan's legislature (4)</w:t>
      </w:r>
    </w:p>
    <w:p>
      <w:pPr>
        <w:spacing w:after="20" w:before="20"/>
      </w:pPr>
      <w:r>
        <w:rPr>
          <w:rFonts w:ascii="Helvetica" w:cs="Helvetica" w:eastAsia="Helvetica" w:hAnsi="Helvetica"/>
          <w:b/>
          <w:bCs/>
          <w:color w:val="0D1B2A"/>
          <w:sz w:val="19"/>
          <w:szCs w:val="19"/>
        </w:rPr>
        <w:t xml:space="preserve">43. </w:t>
      </w:r>
      <w:r>
        <w:rPr>
          <w:rFonts w:ascii="Times New Roman" w:cs="Times New Roman" w:eastAsia="Times New Roman" w:hAnsi="Times New Roman"/>
          <w:color w:val="2E2E2E"/>
          <w:sz w:val="19"/>
          <w:szCs w:val="19"/>
        </w:rPr>
        <w:t xml:space="preserve">Mount ___, where rescues may soon be charged (4)</w:t>
      </w:r>
    </w:p>
    <w:p>
      <w:pPr>
        <w:spacing w:after="20" w:before="20"/>
      </w:pPr>
      <w:r>
        <w:rPr>
          <w:rFonts w:ascii="Helvetica" w:cs="Helvetica" w:eastAsia="Helvetica" w:hAnsi="Helvetica"/>
          <w:b/>
          <w:bCs/>
          <w:color w:val="0D1B2A"/>
          <w:sz w:val="19"/>
          <w:szCs w:val="19"/>
        </w:rPr>
        <w:t xml:space="preserve">44. </w:t>
      </w:r>
      <w:r>
        <w:rPr>
          <w:rFonts w:ascii="Times New Roman" w:cs="Times New Roman" w:eastAsia="Times New Roman" w:hAnsi="Times New Roman"/>
          <w:color w:val="2E2E2E"/>
          <w:sz w:val="19"/>
          <w:szCs w:val="19"/>
        </w:rPr>
        <w:t xml:space="preserve">Japanese-born yokozuna (7)</w:t>
      </w:r>
    </w:p>
    <w:p>
      <w:pPr>
        <w:spacing w:after="20" w:before="20"/>
      </w:pPr>
      <w:r>
        <w:rPr>
          <w:rFonts w:ascii="Helvetica" w:cs="Helvetica" w:eastAsia="Helvetica" w:hAnsi="Helvetica"/>
          <w:b/>
          <w:bCs/>
          <w:color w:val="0D1B2A"/>
          <w:sz w:val="19"/>
          <w:szCs w:val="19"/>
        </w:rPr>
        <w:t xml:space="preserve">46. </w:t>
      </w:r>
      <w:r>
        <w:rPr>
          <w:rFonts w:ascii="Times New Roman" w:cs="Times New Roman" w:eastAsia="Times New Roman" w:hAnsi="Times New Roman"/>
          <w:color w:val="2E2E2E"/>
          <w:sz w:val="19"/>
          <w:szCs w:val="19"/>
        </w:rPr>
        <w:t xml:space="preserve">Health ___, evaded by 38 companies (9)</w:t>
      </w:r>
    </w:p>
    <w:p>
      <w:pPr>
        <w:spacing w:after="20" w:before="20"/>
      </w:pPr>
      <w:r>
        <w:rPr>
          <w:rFonts w:ascii="Helvetica" w:cs="Helvetica" w:eastAsia="Helvetica" w:hAnsi="Helvetica"/>
          <w:b/>
          <w:bCs/>
          <w:color w:val="0D1B2A"/>
          <w:sz w:val="19"/>
          <w:szCs w:val="19"/>
        </w:rPr>
        <w:t xml:space="preserve">49. </w:t>
      </w:r>
      <w:r>
        <w:rPr>
          <w:rFonts w:ascii="Times New Roman" w:cs="Times New Roman" w:eastAsia="Times New Roman" w:hAnsi="Times New Roman"/>
          <w:color w:val="2E2E2E"/>
          <w:sz w:val="19"/>
          <w:szCs w:val="19"/>
        </w:rPr>
        <w:t xml:space="preserve">Plant whose restart application was withdrawn (7)</w:t>
      </w:r>
    </w:p>
    <w:p>
      <w:pPr>
        <w:spacing w:after="20" w:before="20"/>
      </w:pPr>
      <w:r>
        <w:rPr>
          <w:rFonts w:ascii="Helvetica" w:cs="Helvetica" w:eastAsia="Helvetica" w:hAnsi="Helvetica"/>
          <w:b/>
          <w:bCs/>
          <w:color w:val="0D1B2A"/>
          <w:sz w:val="19"/>
          <w:szCs w:val="19"/>
        </w:rPr>
        <w:t xml:space="preserve">51. </w:t>
      </w:r>
      <w:r>
        <w:rPr>
          <w:rFonts w:ascii="Times New Roman" w:cs="Times New Roman" w:eastAsia="Times New Roman" w:hAnsi="Times New Roman"/>
          <w:color w:val="2E2E2E"/>
          <w:sz w:val="19"/>
          <w:szCs w:val="19"/>
        </w:rPr>
        <w:t xml:space="preserve">Carrier building 10,000 5G base stations (6)</w:t>
      </w:r>
    </w:p>
    <w:p>
      <w:pPr>
        <w:spacing w:after="20" w:before="20"/>
      </w:pPr>
      <w:r>
        <w:rPr>
          <w:rFonts w:ascii="Helvetica" w:cs="Helvetica" w:eastAsia="Helvetica" w:hAnsi="Helvetica"/>
          <w:b/>
          <w:bCs/>
          <w:color w:val="0D1B2A"/>
          <w:sz w:val="19"/>
          <w:szCs w:val="19"/>
        </w:rPr>
        <w:t xml:space="preserve">52. </w:t>
      </w:r>
      <w:r>
        <w:rPr>
          <w:rFonts w:ascii="Times New Roman" w:cs="Times New Roman" w:eastAsia="Times New Roman" w:hAnsi="Times New Roman"/>
          <w:color w:val="2E2E2E"/>
          <w:sz w:val="19"/>
          <w:szCs w:val="19"/>
        </w:rPr>
        <w:t xml:space="preserve">Haruka ___, javelin record holder (9)</w:t>
      </w:r>
    </w:p>
    <w:p>
      <w:pPr>
        <w:spacing w:after="20" w:before="20"/>
      </w:pPr>
      <w:r>
        <w:rPr>
          <w:rFonts w:ascii="Helvetica" w:cs="Helvetica" w:eastAsia="Helvetica" w:hAnsi="Helvetica"/>
          <w:b/>
          <w:bCs/>
          <w:color w:val="0D1B2A"/>
          <w:sz w:val="19"/>
          <w:szCs w:val="19"/>
        </w:rPr>
        <w:t xml:space="preserve">53. </w:t>
      </w:r>
      <w:r>
        <w:rPr>
          <w:rFonts w:ascii="Times New Roman" w:cs="Times New Roman" w:eastAsia="Times New Roman" w:hAnsi="Times New Roman"/>
          <w:color w:val="2E2E2E"/>
          <w:sz w:val="19"/>
          <w:szCs w:val="19"/>
        </w:rPr>
        <w:t xml:space="preserve">Group down more than 10% intraday (8)</w:t>
      </w:r>
    </w:p>
    <w:p>
      <w:pPr>
        <w:spacing w:after="20" w:before="20"/>
      </w:pPr>
      <w:r>
        <w:rPr>
          <w:rFonts w:ascii="Helvetica" w:cs="Helvetica" w:eastAsia="Helvetica" w:hAnsi="Helvetica"/>
          <w:b/>
          <w:bCs/>
          <w:color w:val="0D1B2A"/>
          <w:sz w:val="19"/>
          <w:szCs w:val="19"/>
        </w:rPr>
        <w:t xml:space="preserve">54. </w:t>
      </w:r>
      <w:r>
        <w:rPr>
          <w:rFonts w:ascii="Times New Roman" w:cs="Times New Roman" w:eastAsia="Times New Roman" w:hAnsi="Times New Roman"/>
          <w:color w:val="2E2E2E"/>
          <w:sz w:val="19"/>
          <w:szCs w:val="19"/>
        </w:rPr>
        <w:t xml:space="preserve">Lab whose chief called for an AI slowdown (9)</w:t>
      </w:r>
    </w:p>
    <w:p>
      <w:pPr>
        <w:spacing w:after="20" w:before="20"/>
      </w:pPr>
      <w:r>
        <w:rPr>
          <w:rFonts w:ascii="Helvetica" w:cs="Helvetica" w:eastAsia="Helvetica" w:hAnsi="Helvetica"/>
          <w:b/>
          <w:bCs/>
          <w:color w:val="0D1B2A"/>
          <w:sz w:val="19"/>
          <w:szCs w:val="19"/>
        </w:rPr>
        <w:t xml:space="preserve">55. </w:t>
      </w:r>
      <w:r>
        <w:rPr>
          <w:rFonts w:ascii="Times New Roman" w:cs="Times New Roman" w:eastAsia="Times New Roman" w:hAnsi="Times New Roman"/>
          <w:color w:val="2E2E2E"/>
          <w:sz w:val="19"/>
          <w:szCs w:val="19"/>
        </w:rPr>
        <w:t xml:space="preserve">Prefecture with a new LDP-backed governor (7)</w:t>
      </w:r>
    </w:p>
    <w:p>
      <w:pPr>
        <w:spacing w:after="20" w:before="20"/>
      </w:pPr>
      <w:r>
        <w:rPr>
          <w:rFonts w:ascii="Helvetica" w:cs="Helvetica" w:eastAsia="Helvetica" w:hAnsi="Helvetica"/>
          <w:b/>
          <w:bCs/>
          <w:color w:val="0D1B2A"/>
          <w:sz w:val="19"/>
          <w:szCs w:val="19"/>
        </w:rPr>
        <w:t xml:space="preserve">56. </w:t>
      </w:r>
      <w:r>
        <w:rPr>
          <w:rFonts w:ascii="Times New Roman" w:cs="Times New Roman" w:eastAsia="Times New Roman" w:hAnsi="Times New Roman"/>
          <w:color w:val="2E2E2E"/>
          <w:sz w:val="19"/>
          <w:szCs w:val="19"/>
        </w:rPr>
        <w:t xml:space="preserve">Ozeki back at rank and unbeaten (9)</w:t>
      </w:r>
    </w:p>
    <w:p>
      <w:pPr>
        <w:spacing w:after="20" w:before="20"/>
      </w:pPr>
      <w:r>
        <w:rPr>
          <w:rFonts w:ascii="Helvetica" w:cs="Helvetica" w:eastAsia="Helvetica" w:hAnsi="Helvetica"/>
          <w:b/>
          <w:bCs/>
          <w:color w:val="0D1B2A"/>
          <w:sz w:val="19"/>
          <w:szCs w:val="19"/>
        </w:rPr>
        <w:t xml:space="preserve">57. </w:t>
      </w:r>
      <w:r>
        <w:rPr>
          <w:rFonts w:ascii="Times New Roman" w:cs="Times New Roman" w:eastAsia="Times New Roman" w:hAnsi="Times New Roman"/>
          <w:color w:val="2E2E2E"/>
          <w:sz w:val="19"/>
          <w:szCs w:val="19"/>
        </w:rPr>
        <w:t xml:space="preserve">Philippine region voting on autonomy (8)</w:t>
      </w:r>
    </w:p>
    <w:p>
      <w:pPr>
        <w:spacing w:after="80" w:before="200"/>
      </w:pPr>
      <w:r>
        <w:rPr>
          <w:rFonts w:ascii="Helvetica" w:cs="Helvetica" w:eastAsia="Helvetica" w:hAnsi="Helvetica"/>
          <w:b/>
          <w:bCs/>
          <w:color w:val="0D1B2A"/>
          <w:sz w:val="22"/>
          <w:szCs w:val="22"/>
        </w:rPr>
        <w:t xml:space="preserve">DOWN</w:t>
      </w:r>
    </w:p>
    <w:p>
      <w:pPr>
        <w:spacing w:after="20" w:before="20"/>
      </w:pPr>
      <w:r>
        <w:rPr>
          <w:rFonts w:ascii="Helvetica" w:cs="Helvetica" w:eastAsia="Helvetica" w:hAnsi="Helvetica"/>
          <w:b/>
          <w:bCs/>
          <w:color w:val="0D1B2A"/>
          <w:sz w:val="19"/>
          <w:szCs w:val="19"/>
        </w:rPr>
        <w:t xml:space="preserve">1. </w:t>
      </w:r>
      <w:r>
        <w:rPr>
          <w:rFonts w:ascii="Times New Roman" w:cs="Times New Roman" w:eastAsia="Times New Roman" w:hAnsi="Times New Roman"/>
          <w:color w:val="2E2E2E"/>
          <w:sz w:val="19"/>
          <w:szCs w:val="19"/>
        </w:rPr>
        <w:t xml:space="preserve">City with 198 lunch contamination cases (8)</w:t>
      </w:r>
    </w:p>
    <w:p>
      <w:pPr>
        <w:spacing w:after="20" w:before="20"/>
      </w:pPr>
      <w:r>
        <w:rPr>
          <w:rFonts w:ascii="Helvetica" w:cs="Helvetica" w:eastAsia="Helvetica" w:hAnsi="Helvetica"/>
          <w:b/>
          <w:bCs/>
          <w:color w:val="0D1B2A"/>
          <w:sz w:val="19"/>
          <w:szCs w:val="19"/>
        </w:rPr>
        <w:t xml:space="preserve">2. </w:t>
      </w:r>
      <w:r>
        <w:rPr>
          <w:rFonts w:ascii="Times New Roman" w:cs="Times New Roman" w:eastAsia="Times New Roman" w:hAnsi="Times New Roman"/>
          <w:color w:val="2E2E2E"/>
          <w:sz w:val="19"/>
          <w:szCs w:val="19"/>
        </w:rPr>
        <w:t xml:space="preserve">Cabinet change expected around the 17th (9)</w:t>
      </w:r>
    </w:p>
    <w:p>
      <w:pPr>
        <w:spacing w:after="20" w:before="20"/>
      </w:pPr>
      <w:r>
        <w:rPr>
          <w:rFonts w:ascii="Helvetica" w:cs="Helvetica" w:eastAsia="Helvetica" w:hAnsi="Helvetica"/>
          <w:b/>
          <w:bCs/>
          <w:color w:val="0D1B2A"/>
          <w:sz w:val="19"/>
          <w:szCs w:val="19"/>
        </w:rPr>
        <w:t xml:space="preserve">4. </w:t>
      </w:r>
      <w:r>
        <w:rPr>
          <w:rFonts w:ascii="Times New Roman" w:cs="Times New Roman" w:eastAsia="Times New Roman" w:hAnsi="Times New Roman"/>
          <w:color w:val="2E2E2E"/>
          <w:sz w:val="19"/>
          <w:szCs w:val="19"/>
        </w:rPr>
        <w:t xml:space="preserve">Region warned of landslides (6)</w:t>
      </w:r>
    </w:p>
    <w:p>
      <w:pPr>
        <w:spacing w:after="20" w:before="20"/>
      </w:pPr>
      <w:r>
        <w:rPr>
          <w:rFonts w:ascii="Helvetica" w:cs="Helvetica" w:eastAsia="Helvetica" w:hAnsi="Helvetica"/>
          <w:b/>
          <w:bCs/>
          <w:color w:val="0D1B2A"/>
          <w:sz w:val="19"/>
          <w:szCs w:val="19"/>
        </w:rPr>
        <w:t xml:space="preserve">5. </w:t>
      </w:r>
      <w:r>
        <w:rPr>
          <w:rFonts w:ascii="Times New Roman" w:cs="Times New Roman" w:eastAsia="Times New Roman" w:hAnsi="Times New Roman"/>
          <w:color w:val="2E2E2E"/>
          <w:sz w:val="19"/>
          <w:szCs w:val="19"/>
        </w:rPr>
        <w:t xml:space="preserve">Prefecture to bill for off-season rescues (9)</w:t>
      </w:r>
    </w:p>
    <w:p>
      <w:pPr>
        <w:spacing w:after="20" w:before="20"/>
      </w:pPr>
      <w:r>
        <w:rPr>
          <w:rFonts w:ascii="Helvetica" w:cs="Helvetica" w:eastAsia="Helvetica" w:hAnsi="Helvetica"/>
          <w:b/>
          <w:bCs/>
          <w:color w:val="0D1B2A"/>
          <w:sz w:val="19"/>
          <w:szCs w:val="19"/>
        </w:rPr>
        <w:t xml:space="preserve">7. </w:t>
      </w:r>
      <w:r>
        <w:rPr>
          <w:rFonts w:ascii="Times New Roman" w:cs="Times New Roman" w:eastAsia="Times New Roman" w:hAnsi="Times New Roman"/>
          <w:color w:val="2E2E2E"/>
          <w:sz w:val="19"/>
          <w:szCs w:val="19"/>
        </w:rPr>
        <w:t xml:space="preserve">Traditional robe (6)</w:t>
      </w:r>
    </w:p>
    <w:p>
      <w:pPr>
        <w:spacing w:after="20" w:before="20"/>
      </w:pPr>
      <w:r>
        <w:rPr>
          <w:rFonts w:ascii="Helvetica" w:cs="Helvetica" w:eastAsia="Helvetica" w:hAnsi="Helvetica"/>
          <w:b/>
          <w:bCs/>
          <w:color w:val="0D1B2A"/>
          <w:sz w:val="19"/>
          <w:szCs w:val="19"/>
        </w:rPr>
        <w:t xml:space="preserve">9. </w:t>
      </w:r>
      <w:r>
        <w:rPr>
          <w:rFonts w:ascii="Times New Roman" w:cs="Times New Roman" w:eastAsia="Times New Roman" w:hAnsi="Times New Roman"/>
          <w:color w:val="2E2E2E"/>
          <w:sz w:val="19"/>
          <w:szCs w:val="19"/>
        </w:rPr>
        <w:t xml:space="preserve">Late-September astronomical marker (7)</w:t>
      </w:r>
    </w:p>
    <w:p>
      <w:pPr>
        <w:spacing w:after="20" w:before="20"/>
      </w:pPr>
      <w:r>
        <w:rPr>
          <w:rFonts w:ascii="Helvetica" w:cs="Helvetica" w:eastAsia="Helvetica" w:hAnsi="Helvetica"/>
          <w:b/>
          <w:bCs/>
          <w:color w:val="0D1B2A"/>
          <w:sz w:val="19"/>
          <w:szCs w:val="19"/>
        </w:rPr>
        <w:t xml:space="preserve">10. </w:t>
      </w:r>
      <w:r>
        <w:rPr>
          <w:rFonts w:ascii="Times New Roman" w:cs="Times New Roman" w:eastAsia="Times New Roman" w:hAnsi="Times New Roman"/>
          <w:color w:val="2E2E2E"/>
          <w:sz w:val="19"/>
          <w:szCs w:val="19"/>
        </w:rPr>
        <w:t xml:space="preserve">US 10-year ___ yield briefly topped 5% (8)</w:t>
      </w:r>
    </w:p>
    <w:p>
      <w:pPr>
        <w:spacing w:after="20" w:before="20"/>
      </w:pPr>
      <w:r>
        <w:rPr>
          <w:rFonts w:ascii="Helvetica" w:cs="Helvetica" w:eastAsia="Helvetica" w:hAnsi="Helvetica"/>
          <w:b/>
          <w:bCs/>
          <w:color w:val="0D1B2A"/>
          <w:sz w:val="19"/>
          <w:szCs w:val="19"/>
        </w:rPr>
        <w:t xml:space="preserve">11. </w:t>
      </w:r>
      <w:r>
        <w:rPr>
          <w:rFonts w:ascii="Times New Roman" w:cs="Times New Roman" w:eastAsia="Times New Roman" w:hAnsi="Times New Roman"/>
          <w:color w:val="2E2E2E"/>
          <w:sz w:val="19"/>
          <w:szCs w:val="19"/>
        </w:rPr>
        <w:t xml:space="preserve">Relocation site the new governor accepts (6)</w:t>
      </w:r>
    </w:p>
    <w:p>
      <w:pPr>
        <w:spacing w:after="20" w:before="20"/>
      </w:pPr>
      <w:r>
        <w:rPr>
          <w:rFonts w:ascii="Helvetica" w:cs="Helvetica" w:eastAsia="Helvetica" w:hAnsi="Helvetica"/>
          <w:b/>
          <w:bCs/>
          <w:color w:val="0D1B2A"/>
          <w:sz w:val="19"/>
          <w:szCs w:val="19"/>
        </w:rPr>
        <w:t xml:space="preserve">12. </w:t>
      </w:r>
      <w:r>
        <w:rPr>
          <w:rFonts w:ascii="Times New Roman" w:cs="Times New Roman" w:eastAsia="Times New Roman" w:hAnsi="Times New Roman"/>
          <w:color w:val="2E2E2E"/>
          <w:sz w:val="19"/>
          <w:szCs w:val="19"/>
        </w:rPr>
        <w:t xml:space="preserve">___ Arabia, whose pipeline needs weeks of repair (5)</w:t>
      </w:r>
    </w:p>
    <w:p>
      <w:pPr>
        <w:spacing w:after="20" w:before="20"/>
      </w:pPr>
      <w:r>
        <w:rPr>
          <w:rFonts w:ascii="Helvetica" w:cs="Helvetica" w:eastAsia="Helvetica" w:hAnsi="Helvetica"/>
          <w:b/>
          <w:bCs/>
          <w:color w:val="0D1B2A"/>
          <w:sz w:val="19"/>
          <w:szCs w:val="19"/>
        </w:rPr>
        <w:t xml:space="preserve">13. </w:t>
      </w:r>
      <w:r>
        <w:rPr>
          <w:rFonts w:ascii="Times New Roman" w:cs="Times New Roman" w:eastAsia="Times New Roman" w:hAnsi="Times New Roman"/>
          <w:color w:val="2E2E2E"/>
          <w:sz w:val="19"/>
          <w:szCs w:val="19"/>
        </w:rPr>
        <w:t xml:space="preserve">Broader index that rose 0.74% Monday (5)</w:t>
      </w:r>
    </w:p>
    <w:p>
      <w:pPr>
        <w:spacing w:after="20" w:before="20"/>
      </w:pPr>
      <w:r>
        <w:rPr>
          <w:rFonts w:ascii="Helvetica" w:cs="Helvetica" w:eastAsia="Helvetica" w:hAnsi="Helvetica"/>
          <w:b/>
          <w:bCs/>
          <w:color w:val="0D1B2A"/>
          <w:sz w:val="19"/>
          <w:szCs w:val="19"/>
        </w:rPr>
        <w:t xml:space="preserve">15. </w:t>
      </w:r>
      <w:r>
        <w:rPr>
          <w:rFonts w:ascii="Times New Roman" w:cs="Times New Roman" w:eastAsia="Times New Roman" w:hAnsi="Times New Roman"/>
          <w:color w:val="2E2E2E"/>
          <w:sz w:val="19"/>
          <w:szCs w:val="19"/>
        </w:rPr>
        <w:t xml:space="preserve">Ishin secretary-general headed for the cabinet (9)</w:t>
      </w:r>
    </w:p>
    <w:p>
      <w:pPr>
        <w:spacing w:after="20" w:before="20"/>
      </w:pPr>
      <w:r>
        <w:rPr>
          <w:rFonts w:ascii="Helvetica" w:cs="Helvetica" w:eastAsia="Helvetica" w:hAnsi="Helvetica"/>
          <w:b/>
          <w:bCs/>
          <w:color w:val="0D1B2A"/>
          <w:sz w:val="19"/>
          <w:szCs w:val="19"/>
        </w:rPr>
        <w:t xml:space="preserve">17. </w:t>
      </w:r>
      <w:r>
        <w:rPr>
          <w:rFonts w:ascii="Times New Roman" w:cs="Times New Roman" w:eastAsia="Times New Roman" w:hAnsi="Times New Roman"/>
          <w:color w:val="2E2E2E"/>
          <w:sz w:val="19"/>
          <w:szCs w:val="19"/>
        </w:rPr>
        <w:t xml:space="preserve">Grouping whose summit just closed (5)</w:t>
      </w:r>
    </w:p>
    <w:p>
      <w:pPr>
        <w:spacing w:after="20" w:before="20"/>
      </w:pPr>
      <w:r>
        <w:rPr>
          <w:rFonts w:ascii="Helvetica" w:cs="Helvetica" w:eastAsia="Helvetica" w:hAnsi="Helvetica"/>
          <w:b/>
          <w:bCs/>
          <w:color w:val="0D1B2A"/>
          <w:sz w:val="19"/>
          <w:szCs w:val="19"/>
        </w:rPr>
        <w:t xml:space="preserve">19. </w:t>
      </w:r>
      <w:r>
        <w:rPr>
          <w:rFonts w:ascii="Times New Roman" w:cs="Times New Roman" w:eastAsia="Times New Roman" w:hAnsi="Times New Roman"/>
          <w:color w:val="2E2E2E"/>
          <w:sz w:val="19"/>
          <w:szCs w:val="19"/>
        </w:rPr>
        <w:t xml:space="preserve">Prefecture requiring notification but no fee (8)</w:t>
      </w:r>
    </w:p>
    <w:p>
      <w:pPr>
        <w:spacing w:after="20" w:before="20"/>
      </w:pPr>
      <w:r>
        <w:rPr>
          <w:rFonts w:ascii="Helvetica" w:cs="Helvetica" w:eastAsia="Helvetica" w:hAnsi="Helvetica"/>
          <w:b/>
          <w:bCs/>
          <w:color w:val="0D1B2A"/>
          <w:sz w:val="19"/>
          <w:szCs w:val="19"/>
        </w:rPr>
        <w:t xml:space="preserve">21. </w:t>
      </w:r>
      <w:r>
        <w:rPr>
          <w:rFonts w:ascii="Times New Roman" w:cs="Times New Roman" w:eastAsia="Times New Roman" w:hAnsi="Times New Roman"/>
          <w:color w:val="2E2E2E"/>
          <w:sz w:val="19"/>
          <w:szCs w:val="19"/>
        </w:rPr>
        <w:t xml:space="preserve">Rental operator facing a tender offer (9)</w:t>
      </w:r>
    </w:p>
    <w:p>
      <w:pPr>
        <w:spacing w:after="20" w:before="20"/>
      </w:pPr>
      <w:r>
        <w:rPr>
          <w:rFonts w:ascii="Helvetica" w:cs="Helvetica" w:eastAsia="Helvetica" w:hAnsi="Helvetica"/>
          <w:b/>
          <w:bCs/>
          <w:color w:val="0D1B2A"/>
          <w:sz w:val="19"/>
          <w:szCs w:val="19"/>
        </w:rPr>
        <w:t xml:space="preserve">22. </w:t>
      </w:r>
      <w:r>
        <w:rPr>
          <w:rFonts w:ascii="Times New Roman" w:cs="Times New Roman" w:eastAsia="Times New Roman" w:hAnsi="Times New Roman"/>
          <w:color w:val="2E2E2E"/>
          <w:sz w:val="19"/>
          <w:szCs w:val="19"/>
        </w:rPr>
        <w:t xml:space="preserve">Chip tester down more than 4% (9)</w:t>
      </w:r>
    </w:p>
    <w:p>
      <w:pPr>
        <w:spacing w:after="20" w:before="20"/>
      </w:pPr>
      <w:r>
        <w:rPr>
          <w:rFonts w:ascii="Helvetica" w:cs="Helvetica" w:eastAsia="Helvetica" w:hAnsi="Helvetica"/>
          <w:b/>
          <w:bCs/>
          <w:color w:val="0D1B2A"/>
          <w:sz w:val="19"/>
          <w:szCs w:val="19"/>
        </w:rPr>
        <w:t xml:space="preserve">24. </w:t>
      </w:r>
      <w:r>
        <w:rPr>
          <w:rFonts w:ascii="Times New Roman" w:cs="Times New Roman" w:eastAsia="Times New Roman" w:hAnsi="Times New Roman"/>
          <w:color w:val="2E2E2E"/>
          <w:sz w:val="19"/>
          <w:szCs w:val="19"/>
        </w:rPr>
        <w:t xml:space="preserve">Currency in the mid-154 range (3)</w:t>
      </w:r>
    </w:p>
    <w:p>
      <w:pPr>
        <w:spacing w:after="20" w:before="20"/>
      </w:pPr>
      <w:r>
        <w:rPr>
          <w:rFonts w:ascii="Helvetica" w:cs="Helvetica" w:eastAsia="Helvetica" w:hAnsi="Helvetica"/>
          <w:b/>
          <w:bCs/>
          <w:color w:val="0D1B2A"/>
          <w:sz w:val="19"/>
          <w:szCs w:val="19"/>
        </w:rPr>
        <w:t xml:space="preserve">25. </w:t>
      </w:r>
      <w:r>
        <w:rPr>
          <w:rFonts w:ascii="Times New Roman" w:cs="Times New Roman" w:eastAsia="Times New Roman" w:hAnsi="Times New Roman"/>
          <w:color w:val="2E2E2E"/>
          <w:sz w:val="19"/>
          <w:szCs w:val="19"/>
        </w:rPr>
        <w:t xml:space="preserve">Opponent beaten 8-0 on Monday (8)</w:t>
      </w:r>
    </w:p>
    <w:p>
      <w:pPr>
        <w:spacing w:after="20" w:before="20"/>
      </w:pPr>
      <w:r>
        <w:rPr>
          <w:rFonts w:ascii="Helvetica" w:cs="Helvetica" w:eastAsia="Helvetica" w:hAnsi="Helvetica"/>
          <w:b/>
          <w:bCs/>
          <w:color w:val="0D1B2A"/>
          <w:sz w:val="19"/>
          <w:szCs w:val="19"/>
        </w:rPr>
        <w:t xml:space="preserve">26. </w:t>
      </w:r>
      <w:r>
        <w:rPr>
          <w:rFonts w:ascii="Times New Roman" w:cs="Times New Roman" w:eastAsia="Times New Roman" w:hAnsi="Times New Roman"/>
          <w:color w:val="2E2E2E"/>
          <w:sz w:val="19"/>
          <w:szCs w:val="19"/>
        </w:rPr>
        <w:t xml:space="preserve">Fuel cell technology bound for Europe (8)</w:t>
      </w:r>
    </w:p>
    <w:p>
      <w:pPr>
        <w:spacing w:after="20" w:before="20"/>
      </w:pPr>
      <w:r>
        <w:rPr>
          <w:rFonts w:ascii="Helvetica" w:cs="Helvetica" w:eastAsia="Helvetica" w:hAnsi="Helvetica"/>
          <w:b/>
          <w:bCs/>
          <w:color w:val="0D1B2A"/>
          <w:sz w:val="19"/>
          <w:szCs w:val="19"/>
        </w:rPr>
        <w:t xml:space="preserve">27. </w:t>
      </w:r>
      <w:r>
        <w:rPr>
          <w:rFonts w:ascii="Times New Roman" w:cs="Times New Roman" w:eastAsia="Times New Roman" w:hAnsi="Times New Roman"/>
          <w:color w:val="2E2E2E"/>
          <w:sz w:val="19"/>
          <w:szCs w:val="19"/>
        </w:rPr>
        <w:t xml:space="preserve">East-West route bypassing Hormuz (8)</w:t>
      </w:r>
    </w:p>
    <w:p>
      <w:pPr>
        <w:spacing w:after="20" w:before="20"/>
      </w:pPr>
      <w:r>
        <w:rPr>
          <w:rFonts w:ascii="Helvetica" w:cs="Helvetica" w:eastAsia="Helvetica" w:hAnsi="Helvetica"/>
          <w:b/>
          <w:bCs/>
          <w:color w:val="0D1B2A"/>
          <w:sz w:val="19"/>
          <w:szCs w:val="19"/>
        </w:rPr>
        <w:t xml:space="preserve">29. </w:t>
      </w:r>
      <w:r>
        <w:rPr>
          <w:rFonts w:ascii="Times New Roman" w:cs="Times New Roman" w:eastAsia="Times New Roman" w:hAnsi="Times New Roman"/>
          <w:color w:val="2E2E2E"/>
          <w:sz w:val="19"/>
          <w:szCs w:val="19"/>
        </w:rPr>
        <w:t xml:space="preserve">Region seeing temperatures fall (5)</w:t>
      </w:r>
    </w:p>
    <w:p>
      <w:pPr>
        <w:spacing w:after="20" w:before="20"/>
      </w:pPr>
      <w:r>
        <w:rPr>
          <w:rFonts w:ascii="Helvetica" w:cs="Helvetica" w:eastAsia="Helvetica" w:hAnsi="Helvetica"/>
          <w:b/>
          <w:bCs/>
          <w:color w:val="0D1B2A"/>
          <w:sz w:val="19"/>
          <w:szCs w:val="19"/>
        </w:rPr>
        <w:t xml:space="preserve">30. </w:t>
      </w:r>
      <w:r>
        <w:rPr>
          <w:rFonts w:ascii="Times New Roman" w:cs="Times New Roman" w:eastAsia="Times New Roman" w:hAnsi="Times New Roman"/>
          <w:color w:val="2E2E2E"/>
          <w:sz w:val="19"/>
          <w:szCs w:val="19"/>
        </w:rPr>
        <w:t xml:space="preserve">Governor defeated Sunday (6)</w:t>
      </w:r>
    </w:p>
    <w:p>
      <w:pPr>
        <w:spacing w:after="20" w:before="20"/>
      </w:pPr>
      <w:r>
        <w:rPr>
          <w:rFonts w:ascii="Helvetica" w:cs="Helvetica" w:eastAsia="Helvetica" w:hAnsi="Helvetica"/>
          <w:b/>
          <w:bCs/>
          <w:color w:val="0D1B2A"/>
          <w:sz w:val="19"/>
          <w:szCs w:val="19"/>
        </w:rPr>
        <w:t xml:space="preserve">35. </w:t>
      </w:r>
      <w:r>
        <w:rPr>
          <w:rFonts w:ascii="Times New Roman" w:cs="Times New Roman" w:eastAsia="Times New Roman" w:hAnsi="Times New Roman"/>
          <w:color w:val="2E2E2E"/>
          <w:sz w:val="19"/>
          <w:szCs w:val="19"/>
        </w:rPr>
        <w:t xml:space="preserve">Agency opening its General Conference (4)</w:t>
      </w:r>
    </w:p>
    <w:p>
      <w:pPr>
        <w:spacing w:after="20" w:before="20"/>
      </w:pPr>
      <w:r>
        <w:rPr>
          <w:rFonts w:ascii="Helvetica" w:cs="Helvetica" w:eastAsia="Helvetica" w:hAnsi="Helvetica"/>
          <w:b/>
          <w:bCs/>
          <w:color w:val="0D1B2A"/>
          <w:sz w:val="19"/>
          <w:szCs w:val="19"/>
        </w:rPr>
        <w:t xml:space="preserve">36. </w:t>
      </w:r>
      <w:r>
        <w:rPr>
          <w:rFonts w:ascii="Times New Roman" w:cs="Times New Roman" w:eastAsia="Times New Roman" w:hAnsi="Times New Roman"/>
          <w:color w:val="2E2E2E"/>
          <w:sz w:val="19"/>
          <w:szCs w:val="19"/>
        </w:rPr>
        <w:t xml:space="preserve">Party taking its first cabinet post (5)</w:t>
      </w:r>
    </w:p>
    <w:p>
      <w:pPr>
        <w:spacing w:after="20" w:before="20"/>
      </w:pPr>
      <w:r>
        <w:rPr>
          <w:rFonts w:ascii="Helvetica" w:cs="Helvetica" w:eastAsia="Helvetica" w:hAnsi="Helvetica"/>
          <w:b/>
          <w:bCs/>
          <w:color w:val="0D1B2A"/>
          <w:sz w:val="19"/>
          <w:szCs w:val="19"/>
        </w:rPr>
        <w:t xml:space="preserve">37. </w:t>
      </w:r>
      <w:r>
        <w:rPr>
          <w:rFonts w:ascii="Times New Roman" w:cs="Times New Roman" w:eastAsia="Times New Roman" w:hAnsi="Times New Roman"/>
          <w:color w:val="2E2E2E"/>
          <w:sz w:val="19"/>
          <w:szCs w:val="19"/>
        </w:rPr>
        <w:t xml:space="preserve">Maker expanding hydrogen supply to European trucks (6)</w:t>
      </w:r>
    </w:p>
    <w:p>
      <w:pPr>
        <w:spacing w:after="20" w:before="20"/>
      </w:pPr>
      <w:r>
        <w:rPr>
          <w:rFonts w:ascii="Helvetica" w:cs="Helvetica" w:eastAsia="Helvetica" w:hAnsi="Helvetica"/>
          <w:b/>
          <w:bCs/>
          <w:color w:val="0D1B2A"/>
          <w:sz w:val="19"/>
          <w:szCs w:val="19"/>
        </w:rPr>
        <w:t xml:space="preserve">38. </w:t>
      </w:r>
      <w:r>
        <w:rPr>
          <w:rFonts w:ascii="Times New Roman" w:cs="Times New Roman" w:eastAsia="Times New Roman" w:hAnsi="Times New Roman"/>
          <w:color w:val="2E2E2E"/>
          <w:sz w:val="19"/>
          <w:szCs w:val="19"/>
        </w:rPr>
        <w:t xml:space="preserve">District court hearing the nail artist case (4)</w:t>
      </w:r>
    </w:p>
    <w:p>
      <w:pPr>
        <w:spacing w:after="20" w:before="20"/>
      </w:pPr>
      <w:r>
        <w:rPr>
          <w:rFonts w:ascii="Helvetica" w:cs="Helvetica" w:eastAsia="Helvetica" w:hAnsi="Helvetica"/>
          <w:b/>
          <w:bCs/>
          <w:color w:val="0D1B2A"/>
          <w:sz w:val="19"/>
          <w:szCs w:val="19"/>
        </w:rPr>
        <w:t xml:space="preserve">41. </w:t>
      </w:r>
      <w:r>
        <w:rPr>
          <w:rFonts w:ascii="Times New Roman" w:cs="Times New Roman" w:eastAsia="Times New Roman" w:hAnsi="Times New Roman"/>
          <w:color w:val="2E2E2E"/>
          <w:sz w:val="19"/>
          <w:szCs w:val="19"/>
        </w:rPr>
        <w:t xml:space="preserve">Type of motion data found falsified (7)</w:t>
      </w:r>
    </w:p>
    <w:p>
      <w:pPr>
        <w:spacing w:after="20" w:before="20"/>
      </w:pPr>
      <w:r>
        <w:rPr>
          <w:rFonts w:ascii="Helvetica" w:cs="Helvetica" w:eastAsia="Helvetica" w:hAnsi="Helvetica"/>
          <w:b/>
          <w:bCs/>
          <w:color w:val="0D1B2A"/>
          <w:sz w:val="19"/>
          <w:szCs w:val="19"/>
        </w:rPr>
        <w:t xml:space="preserve">45. </w:t>
      </w:r>
      <w:r>
        <w:rPr>
          <w:rFonts w:ascii="Times New Roman" w:cs="Times New Roman" w:eastAsia="Times New Roman" w:hAnsi="Times New Roman"/>
          <w:color w:val="2E2E2E"/>
          <w:sz w:val="19"/>
          <w:szCs w:val="19"/>
        </w:rPr>
        <w:t xml:space="preserve">Feudal warrior (7)</w:t>
      </w:r>
    </w:p>
    <w:p>
      <w:pPr>
        <w:spacing w:after="20" w:before="20"/>
      </w:pPr>
      <w:r>
        <w:rPr>
          <w:rFonts w:ascii="Helvetica" w:cs="Helvetica" w:eastAsia="Helvetica" w:hAnsi="Helvetica"/>
          <w:b/>
          <w:bCs/>
          <w:color w:val="0D1B2A"/>
          <w:sz w:val="19"/>
          <w:szCs w:val="19"/>
        </w:rPr>
        <w:t xml:space="preserve">47. </w:t>
      </w:r>
      <w:r>
        <w:rPr>
          <w:rFonts w:ascii="Times New Roman" w:cs="Times New Roman" w:eastAsia="Times New Roman" w:hAnsi="Times New Roman"/>
          <w:color w:val="2E2E2E"/>
          <w:sz w:val="19"/>
          <w:szCs w:val="19"/>
        </w:rPr>
        <w:t xml:space="preserve">US rate-setting body meeting the 15th-16th (4)</w:t>
      </w:r>
    </w:p>
    <w:p>
      <w:pPr>
        <w:spacing w:after="20" w:before="20"/>
      </w:pPr>
      <w:r>
        <w:rPr>
          <w:rFonts w:ascii="Helvetica" w:cs="Helvetica" w:eastAsia="Helvetica" w:hAnsi="Helvetica"/>
          <w:b/>
          <w:bCs/>
          <w:color w:val="0D1B2A"/>
          <w:sz w:val="19"/>
          <w:szCs w:val="19"/>
        </w:rPr>
        <w:t xml:space="preserve">48. </w:t>
      </w:r>
      <w:r>
        <w:rPr>
          <w:rFonts w:ascii="Times New Roman" w:cs="Times New Roman" w:eastAsia="Times New Roman" w:hAnsi="Times New Roman"/>
          <w:color w:val="2E2E2E"/>
          <w:sz w:val="19"/>
          <w:szCs w:val="19"/>
        </w:rPr>
        <w:t xml:space="preserve">Genta ___, new Okinawa governor (4)</w:t>
      </w:r>
    </w:p>
    <w:p>
      <w:pPr>
        <w:spacing w:after="20" w:before="20"/>
      </w:pPr>
      <w:r>
        <w:rPr>
          <w:rFonts w:ascii="Helvetica" w:cs="Helvetica" w:eastAsia="Helvetica" w:hAnsi="Helvetica"/>
          <w:b/>
          <w:bCs/>
          <w:color w:val="0D1B2A"/>
          <w:sz w:val="19"/>
          <w:szCs w:val="19"/>
        </w:rPr>
        <w:t xml:space="preserve">49. </w:t>
      </w:r>
      <w:r>
        <w:rPr>
          <w:rFonts w:ascii="Times New Roman" w:cs="Times New Roman" w:eastAsia="Times New Roman" w:hAnsi="Times New Roman"/>
          <w:color w:val="2E2E2E"/>
          <w:sz w:val="19"/>
          <w:szCs w:val="19"/>
        </w:rPr>
        <w:t xml:space="preserve">Mongolian-born yokozuna (8)</w:t>
      </w:r>
    </w:p>
    <w:p>
      <w:pPr>
        <w:spacing w:after="20" w:before="20"/>
      </w:pPr>
      <w:r>
        <w:rPr>
          <w:rFonts w:ascii="Helvetica" w:cs="Helvetica" w:eastAsia="Helvetica" w:hAnsi="Helvetica"/>
          <w:b/>
          <w:bCs/>
          <w:color w:val="0D1B2A"/>
          <w:sz w:val="19"/>
          <w:szCs w:val="19"/>
        </w:rPr>
        <w:t xml:space="preserve">50. </w:t>
      </w:r>
      <w:r>
        <w:rPr>
          <w:rFonts w:ascii="Times New Roman" w:cs="Times New Roman" w:eastAsia="Times New Roman" w:hAnsi="Times New Roman"/>
          <w:color w:val="2E2E2E"/>
          <w:sz w:val="19"/>
          <w:szCs w:val="19"/>
        </w:rPr>
        <w:t xml:space="preserve">What Mindanao voted to anchor (8)</w:t>
      </w:r>
    </w:p>
    <w:p>
      <w:pPr>
        <w:spacing w:after="80" w:before="160"/>
        <w:jc w:val="left"/>
      </w:pPr>
      <w:r>
        <w:rPr>
          <w:rFonts w:ascii="Times New Roman" w:cs="Times New Roman" w:eastAsia="Times New Roman" w:hAnsi="Times New Roman"/>
          <w:b w:val="false"/>
          <w:bCs w:val="false"/>
          <w:i/>
          <w:iCs/>
          <w:color w:val="888888"/>
          <w:sz w:val="18"/>
          <w:szCs w:val="18"/>
        </w:rPr>
        <w:t xml:space="preserve">Solution will appear in tomorrow’s edition.</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ABOUT THIS NEWSPAPER —</w:t>
      </w:r>
    </w:p>
    <w:p>
      <w:pPr>
        <w:spacing w:after="160" w:before="40"/>
        <w:jc w:val="center"/>
      </w:pPr>
      <w:r>
        <w:rPr>
          <w:rFonts w:ascii="Times New Roman" w:cs="Times New Roman" w:eastAsia="Times New Roman" w:hAnsi="Times New Roman"/>
          <w:b w:val="false"/>
          <w:bCs w:val="false"/>
          <w:i/>
          <w:iCs/>
          <w:color w:val="2E2E2E"/>
          <w:sz w:val="20"/>
          <w:szCs w:val="20"/>
        </w:rPr>
        <w:t xml:space="preserve">Japan-first, alliance-first. Founded in service of accurate coverage of Japan's security, industry, families and culture.</w:t>
      </w:r>
    </w:p>
    <w:p>
      <w:pPr>
        <w:spacing w:after="40" w:before="60"/>
      </w:pPr>
      <w:r>
        <w:rPr>
          <w:rFonts w:ascii="Helvetica" w:cs="Helvetica" w:eastAsia="Helvetica" w:hAnsi="Helvetica"/>
          <w:b/>
          <w:bCs/>
          <w:color w:val="8A6D1F"/>
          <w:sz w:val="19"/>
          <w:szCs w:val="19"/>
        </w:rPr>
        <w:t xml:space="preserve">OWNER:  </w:t>
      </w:r>
      <w:r>
        <w:rPr>
          <w:rFonts w:ascii="Times New Roman" w:cs="Times New Roman" w:eastAsia="Times New Roman" w:hAnsi="Times New Roman"/>
          <w:color w:val="2E2E2E"/>
          <w:sz w:val="19"/>
          <w:szCs w:val="19"/>
        </w:rPr>
        <w:t xml:space="preserve">Paul Carter  |  PUBLISHER: WPM Productions</w:t>
      </w:r>
    </w:p>
    <w:p>
      <w:pPr>
        <w:spacing w:after="40" w:before="60"/>
      </w:pPr>
      <w:r>
        <w:rPr>
          <w:rFonts w:ascii="Helvetica" w:cs="Helvetica" w:eastAsia="Helvetica" w:hAnsi="Helvetica"/>
          <w:b/>
          <w:bCs/>
          <w:color w:val="8A6D1F"/>
          <w:sz w:val="19"/>
          <w:szCs w:val="19"/>
        </w:rPr>
        <w:t xml:space="preserve">MANAGING EDITOR:  </w:t>
      </w:r>
      <w:r>
        <w:rPr>
          <w:rFonts w:ascii="Times New Roman" w:cs="Times New Roman" w:eastAsia="Times New Roman" w:hAnsi="Times New Roman"/>
          <w:color w:val="2E2E2E"/>
          <w:sz w:val="19"/>
          <w:szCs w:val="19"/>
        </w:rPr>
        <w:t xml:space="preserve">Dixon Yan</w:t>
      </w:r>
    </w:p>
    <w:p>
      <w:pPr>
        <w:spacing w:after="40" w:before="60"/>
      </w:pPr>
      <w:r>
        <w:rPr>
          <w:rFonts w:ascii="Helvetica" w:cs="Helvetica" w:eastAsia="Helvetica" w:hAnsi="Helvetica"/>
          <w:b/>
          <w:bCs/>
          <w:color w:val="8A6D1F"/>
          <w:sz w:val="19"/>
          <w:szCs w:val="19"/>
        </w:rPr>
        <w:t xml:space="preserve">SENIOR EDITOR, INTERNATIONAL DESK:  </w:t>
      </w:r>
      <w:r>
        <w:rPr>
          <w:rFonts w:ascii="Times New Roman" w:cs="Times New Roman" w:eastAsia="Times New Roman" w:hAnsi="Times New Roman"/>
          <w:color w:val="2E2E2E"/>
          <w:sz w:val="19"/>
          <w:szCs w:val="19"/>
        </w:rPr>
        <w:t xml:space="preserve">Jonathan Mercer</w:t>
      </w:r>
    </w:p>
    <w:p>
      <w:pPr>
        <w:spacing w:after="40" w:before="60"/>
      </w:pPr>
      <w:r>
        <w:rPr>
          <w:rFonts w:ascii="Helvetica" w:cs="Helvetica" w:eastAsia="Helvetica" w:hAnsi="Helvetica"/>
          <w:b/>
          <w:bCs/>
          <w:color w:val="8A6D1F"/>
          <w:sz w:val="19"/>
          <w:szCs w:val="19"/>
        </w:rPr>
        <w:t xml:space="preserve">POLITICS &amp; POLICY:  </w:t>
      </w:r>
      <w:r>
        <w:rPr>
          <w:rFonts w:ascii="Times New Roman" w:cs="Times New Roman" w:eastAsia="Times New Roman" w:hAnsi="Times New Roman"/>
          <w:color w:val="2E2E2E"/>
          <w:sz w:val="19"/>
          <w:szCs w:val="19"/>
        </w:rPr>
        <w:t xml:space="preserve">Michael Hayes, Deputy Editor  |  William, Senior Political Analyst</w:t>
      </w:r>
    </w:p>
    <w:p>
      <w:pPr>
        <w:spacing w:after="40" w:before="60"/>
      </w:pPr>
      <w:r>
        <w:rPr>
          <w:rFonts w:ascii="Helvetica" w:cs="Helvetica" w:eastAsia="Helvetica" w:hAnsi="Helvetica"/>
          <w:b/>
          <w:bCs/>
          <w:color w:val="8A6D1F"/>
          <w:sz w:val="19"/>
          <w:szCs w:val="19"/>
        </w:rPr>
        <w:t xml:space="preserve">JAPAN BUREAU:  </w:t>
      </w:r>
      <w:r>
        <w:rPr>
          <w:rFonts w:ascii="Times New Roman" w:cs="Times New Roman" w:eastAsia="Times New Roman" w:hAnsi="Times New Roman"/>
          <w:color w:val="2E2E2E"/>
          <w:sz w:val="19"/>
          <w:szCs w:val="19"/>
        </w:rPr>
        <w:t xml:space="preserve">Aiko Tanaka, Senior Japan Correspondent  |  Emi Kondo, Society &amp; Local News</w:t>
      </w:r>
    </w:p>
    <w:p>
      <w:pPr>
        <w:spacing w:after="40" w:before="60"/>
      </w:pPr>
      <w:r>
        <w:rPr>
          <w:rFonts w:ascii="Helvetica" w:cs="Helvetica" w:eastAsia="Helvetica" w:hAnsi="Helvetica"/>
          <w:b/>
          <w:bCs/>
          <w:color w:val="8A6D1F"/>
          <w:sz w:val="19"/>
          <w:szCs w:val="19"/>
        </w:rPr>
        <w:t xml:space="preserve">ECONOMICS &amp; FINANCE:  </w:t>
      </w:r>
      <w:r>
        <w:rPr>
          <w:rFonts w:ascii="Times New Roman" w:cs="Times New Roman" w:eastAsia="Times New Roman" w:hAnsi="Times New Roman"/>
          <w:color w:val="2E2E2E"/>
          <w:sz w:val="19"/>
          <w:szCs w:val="19"/>
        </w:rPr>
        <w:t xml:space="preserve">Yuki Saito  |  DATA &amp; VISUALIZATION: Kenta Sakamoto</w:t>
      </w:r>
    </w:p>
    <w:p>
      <w:pPr>
        <w:spacing w:after="40" w:before="60"/>
      </w:pPr>
      <w:r>
        <w:rPr>
          <w:rFonts w:ascii="Helvetica" w:cs="Helvetica" w:eastAsia="Helvetica" w:hAnsi="Helvetica"/>
          <w:b/>
          <w:bCs/>
          <w:color w:val="8A6D1F"/>
          <w:sz w:val="19"/>
          <w:szCs w:val="19"/>
        </w:rPr>
        <w:t xml:space="preserve">JAPAN-U.S. COVERAGE:  </w:t>
      </w:r>
      <w:r>
        <w:rPr>
          <w:rFonts w:ascii="Times New Roman" w:cs="Times New Roman" w:eastAsia="Times New Roman" w:hAnsi="Times New Roman"/>
          <w:color w:val="2E2E2E"/>
          <w:sz w:val="19"/>
          <w:szCs w:val="19"/>
        </w:rPr>
        <w:t xml:space="preserve">Rachel Kim, Washington-Tokyo Liaison</w:t>
      </w:r>
    </w:p>
    <w:p>
      <w:pPr>
        <w:spacing w:after="40" w:before="60"/>
      </w:pPr>
      <w:r>
        <w:rPr>
          <w:rFonts w:ascii="Helvetica" w:cs="Helvetica" w:eastAsia="Helvetica" w:hAnsi="Helvetica"/>
          <w:b/>
          <w:bCs/>
          <w:color w:val="8A6D1F"/>
          <w:sz w:val="19"/>
          <w:szCs w:val="19"/>
        </w:rPr>
        <w:t xml:space="preserve">INVESTIGATIONS &amp; LONGFORM:  </w:t>
      </w:r>
      <w:r>
        <w:rPr>
          <w:rFonts w:ascii="Times New Roman" w:cs="Times New Roman" w:eastAsia="Times New Roman" w:hAnsi="Times New Roman"/>
          <w:color w:val="2E2E2E"/>
          <w:sz w:val="19"/>
          <w:szCs w:val="19"/>
        </w:rPr>
        <w:t xml:space="preserve">Daisuke Ito</w:t>
      </w:r>
    </w:p>
    <w:p>
      <w:pPr>
        <w:spacing w:after="40" w:before="60"/>
      </w:pPr>
      <w:r>
        <w:rPr>
          <w:rFonts w:ascii="Helvetica" w:cs="Helvetica" w:eastAsia="Helvetica" w:hAnsi="Helvetica"/>
          <w:b/>
          <w:bCs/>
          <w:color w:val="8A6D1F"/>
          <w:sz w:val="19"/>
          <w:szCs w:val="19"/>
        </w:rPr>
        <w:t xml:space="preserve">TECHNOLOGY &amp; SCIENCE:  </w:t>
      </w:r>
      <w:r>
        <w:rPr>
          <w:rFonts w:ascii="Times New Roman" w:cs="Times New Roman" w:eastAsia="Times New Roman" w:hAnsi="Times New Roman"/>
          <w:color w:val="2E2E2E"/>
          <w:sz w:val="19"/>
          <w:szCs w:val="19"/>
        </w:rPr>
        <w:t xml:space="preserve">Ethan Cole, Editor  |  Maya Suzuki, Science &amp; Innovation</w:t>
      </w:r>
    </w:p>
    <w:p>
      <w:pPr>
        <w:spacing w:after="40" w:before="60"/>
      </w:pPr>
      <w:r>
        <w:rPr>
          <w:rFonts w:ascii="Helvetica" w:cs="Helvetica" w:eastAsia="Helvetica" w:hAnsi="Helvetica"/>
          <w:b/>
          <w:bCs/>
          <w:color w:val="8A6D1F"/>
          <w:sz w:val="19"/>
          <w:szCs w:val="19"/>
        </w:rPr>
        <w:t xml:space="preserve">CULTURE &amp; SOCIETY:  </w:t>
      </w:r>
      <w:r>
        <w:rPr>
          <w:rFonts w:ascii="Times New Roman" w:cs="Times New Roman" w:eastAsia="Times New Roman" w:hAnsi="Times New Roman"/>
          <w:color w:val="2E2E2E"/>
          <w:sz w:val="19"/>
          <w:szCs w:val="19"/>
        </w:rPr>
        <w:t xml:space="preserve">Naomi Kato, Editor</w:t>
      </w:r>
    </w:p>
    <w:p>
      <w:pPr>
        <w:spacing w:after="40" w:before="60"/>
      </w:pPr>
      <w:r>
        <w:rPr>
          <w:rFonts w:ascii="Helvetica" w:cs="Helvetica" w:eastAsia="Helvetica" w:hAnsi="Helvetica"/>
          <w:b/>
          <w:bCs/>
          <w:color w:val="8A6D1F"/>
          <w:sz w:val="19"/>
          <w:szCs w:val="19"/>
        </w:rPr>
        <w:t xml:space="preserve">SPORTS:  </w:t>
      </w:r>
      <w:r>
        <w:rPr>
          <w:rFonts w:ascii="Times New Roman" w:cs="Times New Roman" w:eastAsia="Times New Roman" w:hAnsi="Times New Roman"/>
          <w:color w:val="2E2E2E"/>
          <w:sz w:val="19"/>
          <w:szCs w:val="19"/>
        </w:rPr>
        <w:t xml:space="preserve">Oliver Brooks, Desk Editor  |  Haruto Yamamoto, Reporter</w:t>
      </w:r>
    </w:p>
    <w:p>
      <w:pPr>
        <w:spacing w:after="40" w:before="60"/>
      </w:pPr>
      <w:r>
        <w:rPr>
          <w:rFonts w:ascii="Helvetica" w:cs="Helvetica" w:eastAsia="Helvetica" w:hAnsi="Helvetica"/>
          <w:b/>
          <w:bCs/>
          <w:color w:val="8A6D1F"/>
          <w:sz w:val="19"/>
          <w:szCs w:val="19"/>
        </w:rPr>
        <w:t xml:space="preserve">FOOD &amp; RESTAURANTS:  </w:t>
      </w:r>
      <w:r>
        <w:rPr>
          <w:rFonts w:ascii="Times New Roman" w:cs="Times New Roman" w:eastAsia="Times New Roman" w:hAnsi="Times New Roman"/>
          <w:color w:val="2E2E2E"/>
          <w:sz w:val="19"/>
          <w:szCs w:val="19"/>
        </w:rPr>
        <w:t xml:space="preserve">Grace Park  |  REAL ESTATE &amp; URBAN DEVELOPMENT: Kenji Fukuda</w:t>
      </w:r>
    </w:p>
    <w:p>
      <w:pPr>
        <w:spacing w:after="40" w:before="60"/>
      </w:pPr>
      <w:r>
        <w:rPr>
          <w:rFonts w:ascii="Helvetica" w:cs="Helvetica" w:eastAsia="Helvetica" w:hAnsi="Helvetica"/>
          <w:b/>
          <w:bCs/>
          <w:color w:val="8A6D1F"/>
          <w:sz w:val="19"/>
          <w:szCs w:val="19"/>
        </w:rPr>
        <w:t xml:space="preserve">EDITORIAL PAGE:  </w:t>
      </w:r>
      <w:r>
        <w:rPr>
          <w:rFonts w:ascii="Times New Roman" w:cs="Times New Roman" w:eastAsia="Times New Roman" w:hAnsi="Times New Roman"/>
          <w:color w:val="2E2E2E"/>
          <w:sz w:val="19"/>
          <w:szCs w:val="19"/>
        </w:rPr>
        <w:t xml:space="preserve">Samantha Ortiz, Editor</w:t>
      </w:r>
    </w:p>
    <w:p>
      <w:pPr>
        <w:spacing w:after="40" w:before="60"/>
      </w:pPr>
      <w:r>
        <w:rPr>
          <w:rFonts w:ascii="Helvetica" w:cs="Helvetica" w:eastAsia="Helvetica" w:hAnsi="Helvetica"/>
          <w:b/>
          <w:bCs/>
          <w:color w:val="8A6D1F"/>
          <w:sz w:val="19"/>
          <w:szCs w:val="19"/>
        </w:rPr>
        <w:t xml:space="preserve">PHOTO EDITOR:  </w:t>
      </w:r>
      <w:r>
        <w:rPr>
          <w:rFonts w:ascii="Times New Roman" w:cs="Times New Roman" w:eastAsia="Times New Roman" w:hAnsi="Times New Roman"/>
          <w:color w:val="2E2E2E"/>
          <w:sz w:val="19"/>
          <w:szCs w:val="19"/>
        </w:rPr>
        <w:t xml:space="preserve">Hiroshi Nakamura, Tokyo  |  GRAPHICS DIRECTOR: Claire Reynolds</w:t>
      </w:r>
    </w:p>
    <w:p>
      <w:pPr>
        <w:spacing w:after="40" w:before="60"/>
      </w:pPr>
      <w:r>
        <w:rPr>
          <w:rFonts w:ascii="Helvetica" w:cs="Helvetica" w:eastAsia="Helvetica" w:hAnsi="Helvetica"/>
          <w:b/>
          <w:bCs/>
          <w:color w:val="8A6D1F"/>
          <w:sz w:val="19"/>
          <w:szCs w:val="19"/>
        </w:rPr>
        <w:t xml:space="preserve">STAFF CARTOONIST:  </w:t>
      </w:r>
      <w:r>
        <w:rPr>
          <w:rFonts w:ascii="Times New Roman" w:cs="Times New Roman" w:eastAsia="Times New Roman" w:hAnsi="Times New Roman"/>
          <w:color w:val="2E2E2E"/>
          <w:sz w:val="19"/>
          <w:szCs w:val="19"/>
        </w:rPr>
        <w:t xml:space="preserve">Taro Suzuki  |  CROSSWORD: James O'Neill, Editor &amp; Constructor</w:t>
      </w:r>
    </w:p>
    <w:p>
      <w:pPr>
        <w:spacing w:after="40" w:before="60"/>
      </w:pPr>
      <w:r>
        <w:rPr>
          <w:rFonts w:ascii="Helvetica" w:cs="Helvetica" w:eastAsia="Helvetica" w:hAnsi="Helvetica"/>
          <w:b/>
          <w:bCs/>
          <w:color w:val="8A6D1F"/>
          <w:sz w:val="19"/>
          <w:szCs w:val="19"/>
        </w:rPr>
        <w:t xml:space="preserve">COPY DESK:  </w:t>
      </w:r>
      <w:r>
        <w:rPr>
          <w:rFonts w:ascii="Times New Roman" w:cs="Times New Roman" w:eastAsia="Times New Roman" w:hAnsi="Times New Roman"/>
          <w:color w:val="2E2E2E"/>
          <w:sz w:val="19"/>
          <w:szCs w:val="19"/>
        </w:rPr>
        <w:t xml:space="preserve">Benjamin Lee, Chief  |  Olivia Martinez, Features</w:t>
      </w:r>
    </w:p>
    <w:p>
      <w:pPr>
        <w:spacing w:after="40" w:before="60"/>
      </w:pPr>
      <w:r>
        <w:rPr>
          <w:rFonts w:ascii="Helvetica" w:cs="Helvetica" w:eastAsia="Helvetica" w:hAnsi="Helvetica"/>
          <w:b/>
          <w:bCs/>
          <w:color w:val="8A6D1F"/>
          <w:sz w:val="19"/>
          <w:szCs w:val="19"/>
        </w:rPr>
        <w:t xml:space="preserve">MULTIMEDIA &amp; VIDEO:  </w:t>
      </w:r>
      <w:r>
        <w:rPr>
          <w:rFonts w:ascii="Times New Roman" w:cs="Times New Roman" w:eastAsia="Times New Roman" w:hAnsi="Times New Roman"/>
          <w:color w:val="2E2E2E"/>
          <w:sz w:val="19"/>
          <w:szCs w:val="19"/>
        </w:rPr>
        <w:t xml:space="preserve">Akira Watanabe  |  RESEARCH &amp; ARCHIVE: Hana Ito</w:t>
      </w:r>
    </w:p>
    <w:p>
      <w:pPr>
        <w:spacing w:after="40" w:before="60"/>
      </w:pPr>
      <w:r>
        <w:rPr>
          <w:rFonts w:ascii="Helvetica" w:cs="Helvetica" w:eastAsia="Helvetica" w:hAnsi="Helvetica"/>
          <w:b/>
          <w:bCs/>
          <w:color w:val="8A6D1F"/>
          <w:sz w:val="19"/>
          <w:szCs w:val="19"/>
        </w:rPr>
        <w:t xml:space="preserve">PAGE DESIGN &amp; PRODUCTION:  </w:t>
      </w:r>
      <w:r>
        <w:rPr>
          <w:rFonts w:ascii="Times New Roman" w:cs="Times New Roman" w:eastAsia="Times New Roman" w:hAnsi="Times New Roman"/>
          <w:color w:val="2E2E2E"/>
          <w:sz w:val="19"/>
          <w:szCs w:val="19"/>
        </w:rPr>
        <w:t xml:space="preserve">Daniel Foster</w:t>
      </w:r>
    </w:p>
    <w:p>
      <w:pPr>
        <w:spacing w:after="80" w:before="120"/>
        <w:jc w:val="center"/>
      </w:pPr>
      <w:r>
        <w:rPr>
          <w:rFonts w:ascii="Times New Roman" w:cs="Times New Roman" w:eastAsia="Times New Roman" w:hAnsi="Times New Roman"/>
          <w:b w:val="false"/>
          <w:bCs w:val="false"/>
          <w:i w:val="false"/>
          <w:iCs w:val="false"/>
          <w:color w:val="888888"/>
          <w:sz w:val="17"/>
          <w:szCs w:val="17"/>
        </w:rPr>
        <w:t xml:space="preserve">1-2-3 Otemachi, Chiyoda-ku, Tokyo 100-0004  |  www.japanmorningpost.com  |  newsdesk@japanmorningpost.com</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COMPLETE ARTICLE INDEX —</w:t>
      </w:r>
    </w:p>
    <w:p>
      <w:pPr>
        <w:spacing w:after="200" w:before="40"/>
        <w:jc w:val="center"/>
      </w:pPr>
      <w:r>
        <w:rPr>
          <w:rFonts w:ascii="Times New Roman" w:cs="Times New Roman" w:eastAsia="Times New Roman" w:hAnsi="Times New Roman"/>
          <w:b/>
          <w:bCs/>
          <w:i w:val="false"/>
          <w:iCs w:val="false"/>
          <w:color w:val="0D1B2A"/>
          <w:sz w:val="22"/>
          <w:szCs w:val="22"/>
        </w:rPr>
        <w:t xml:space="preserve">THE JAPAN MORNING POST — THURSDAY, SEPTEMBER 10, 2026 — 92 articles, 38,320 words</w:t>
      </w:r>
    </w:p>
    <w:p>
      <w:pPr>
        <w:spacing w:after="80" w:before="200"/>
      </w:pPr>
      <w:r>
        <w:rPr>
          <w:rFonts w:ascii="Helvetica" w:cs="Helvetica" w:eastAsia="Helvetica" w:hAnsi="Helvetica"/>
          <w:b/>
          <w:bCs/>
          <w:color w:val="0D1B2A"/>
          <w:sz w:val="22"/>
          <w:szCs w:val="22"/>
        </w:rPr>
        <w:t xml:space="preserve">POLITICS</w:t>
      </w:r>
    </w:p>
    <w:p>
      <w:pPr>
        <w:spacing w:after="40" w:before="40"/>
      </w:pPr>
      <w:r>
        <w:rPr>
          <w:rFonts w:ascii="Helvetica" w:cs="Helvetica" w:eastAsia="Helvetica" w:hAnsi="Helvetica"/>
          <w:b/>
          <w:bCs/>
          <w:color w:val="0D1B2A"/>
          <w:sz w:val="19"/>
          <w:szCs w:val="19"/>
        </w:rPr>
        <w:t xml:space="preserve">1. </w:t>
      </w:r>
      <w:r>
        <w:rPr>
          <w:rFonts w:ascii="Times New Roman" w:cs="Times New Roman" w:eastAsia="Times New Roman" w:hAnsi="Times New Roman"/>
          <w:color w:val="2E2E2E"/>
          <w:sz w:val="19"/>
          <w:szCs w:val="19"/>
        </w:rPr>
        <w:t xml:space="preserve">Chubu Electric Chiefs Quit, Hamaoka Restart Bid Withdrawn Over Falsified Data</w:t>
      </w:r>
      <w:r>
        <w:rPr>
          <w:rFonts w:ascii="Helvetica" w:cs="Helvetica" w:eastAsia="Helvetica" w:hAnsi="Helvetica"/>
          <w:i/>
          <w:iCs/>
          <w:color w:val="888888"/>
          <w:sz w:val="17"/>
          <w:szCs w:val="17"/>
        </w:rPr>
        <w:t xml:space="preserve">  (1,211 words)</w:t>
      </w:r>
    </w:p>
    <w:p>
      <w:pPr>
        <w:spacing w:after="40" w:before="40"/>
      </w:pPr>
      <w:r>
        <w:rPr>
          <w:rFonts w:ascii="Helvetica" w:cs="Helvetica" w:eastAsia="Helvetica" w:hAnsi="Helvetica"/>
          <w:b/>
          <w:bCs/>
          <w:color w:val="0D1B2A"/>
          <w:sz w:val="19"/>
          <w:szCs w:val="19"/>
        </w:rPr>
        <w:t xml:space="preserve">2. </w:t>
      </w:r>
      <w:r>
        <w:rPr>
          <w:rFonts w:ascii="Times New Roman" w:cs="Times New Roman" w:eastAsia="Times New Roman" w:hAnsi="Times New Roman"/>
          <w:color w:val="2E2E2E"/>
          <w:sz w:val="19"/>
          <w:szCs w:val="19"/>
        </w:rPr>
        <w:t xml:space="preserve">Koja Takes Office in Okinawa as Development Budget Is Adjusted Upward</w:t>
      </w:r>
      <w:r>
        <w:rPr>
          <w:rFonts w:ascii="Helvetica" w:cs="Helvetica" w:eastAsia="Helvetica" w:hAnsi="Helvetica"/>
          <w:i/>
          <w:iCs/>
          <w:color w:val="888888"/>
          <w:sz w:val="17"/>
          <w:szCs w:val="17"/>
        </w:rPr>
        <w:t xml:space="preserve">  (614 words)</w:t>
      </w:r>
    </w:p>
    <w:p>
      <w:pPr>
        <w:spacing w:after="40" w:before="40"/>
      </w:pPr>
      <w:r>
        <w:rPr>
          <w:rFonts w:ascii="Helvetica" w:cs="Helvetica" w:eastAsia="Helvetica" w:hAnsi="Helvetica"/>
          <w:b/>
          <w:bCs/>
          <w:color w:val="0D1B2A"/>
          <w:sz w:val="19"/>
          <w:szCs w:val="19"/>
        </w:rPr>
        <w:t xml:space="preserve">3. </w:t>
      </w:r>
      <w:r>
        <w:rPr>
          <w:rFonts w:ascii="Times New Roman" w:cs="Times New Roman" w:eastAsia="Times New Roman" w:hAnsi="Times New Roman"/>
          <w:color w:val="2E2E2E"/>
          <w:sz w:val="19"/>
          <w:szCs w:val="19"/>
        </w:rPr>
        <w:t xml:space="preserve">Ishin Set to Take First Cabinet Post as Reshuffle Nears</w:t>
      </w:r>
      <w:r>
        <w:rPr>
          <w:rFonts w:ascii="Helvetica" w:cs="Helvetica" w:eastAsia="Helvetica" w:hAnsi="Helvetica"/>
          <w:i/>
          <w:iCs/>
          <w:color w:val="888888"/>
          <w:sz w:val="17"/>
          <w:szCs w:val="17"/>
        </w:rPr>
        <w:t xml:space="preserve">  (514 words)</w:t>
      </w:r>
    </w:p>
    <w:p>
      <w:pPr>
        <w:spacing w:after="80" w:before="200"/>
      </w:pPr>
      <w:r>
        <w:rPr>
          <w:rFonts w:ascii="Helvetica" w:cs="Helvetica" w:eastAsia="Helvetica" w:hAnsi="Helvetica"/>
          <w:b/>
          <w:bCs/>
          <w:color w:val="0D1B2A"/>
          <w:sz w:val="22"/>
          <w:szCs w:val="22"/>
        </w:rPr>
        <w:t xml:space="preserve">ANALYSIS</w:t>
      </w:r>
    </w:p>
    <w:p>
      <w:pPr>
        <w:spacing w:after="40" w:before="40"/>
      </w:pPr>
      <w:r>
        <w:rPr>
          <w:rFonts w:ascii="Helvetica" w:cs="Helvetica" w:eastAsia="Helvetica" w:hAnsi="Helvetica"/>
          <w:b/>
          <w:bCs/>
          <w:color w:val="0D1B2A"/>
          <w:sz w:val="19"/>
          <w:szCs w:val="19"/>
        </w:rPr>
        <w:t xml:space="preserve">4. </w:t>
      </w:r>
      <w:r>
        <w:rPr>
          <w:rFonts w:ascii="Times New Roman" w:cs="Times New Roman" w:eastAsia="Times New Roman" w:hAnsi="Times New Roman"/>
          <w:color w:val="2E2E2E"/>
          <w:sz w:val="19"/>
          <w:szCs w:val="19"/>
        </w:rPr>
        <w:t xml:space="preserve">ANALYSIS: The Sentence That Explains Okinawa's Result</w:t>
      </w:r>
      <w:r>
        <w:rPr>
          <w:rFonts w:ascii="Helvetica" w:cs="Helvetica" w:eastAsia="Helvetica" w:hAnsi="Helvetica"/>
          <w:i/>
          <w:iCs/>
          <w:color w:val="888888"/>
          <w:sz w:val="17"/>
          <w:szCs w:val="17"/>
        </w:rPr>
        <w:t xml:space="preserve">  (532 words)</w:t>
      </w:r>
    </w:p>
    <w:p>
      <w:pPr>
        <w:spacing w:after="80" w:before="200"/>
      </w:pPr>
      <w:r>
        <w:rPr>
          <w:rFonts w:ascii="Helvetica" w:cs="Helvetica" w:eastAsia="Helvetica" w:hAnsi="Helvetica"/>
          <w:b/>
          <w:bCs/>
          <w:color w:val="0D1B2A"/>
          <w:sz w:val="22"/>
          <w:szCs w:val="22"/>
        </w:rPr>
        <w:t xml:space="preserve">POLITICS</w:t>
      </w:r>
    </w:p>
    <w:p>
      <w:pPr>
        <w:spacing w:after="40" w:before="40"/>
      </w:pPr>
      <w:r>
        <w:rPr>
          <w:rFonts w:ascii="Helvetica" w:cs="Helvetica" w:eastAsia="Helvetica" w:hAnsi="Helvetica"/>
          <w:b/>
          <w:bCs/>
          <w:color w:val="0D1B2A"/>
          <w:sz w:val="19"/>
          <w:szCs w:val="19"/>
        </w:rPr>
        <w:t xml:space="preserve">5. </w:t>
      </w:r>
      <w:r>
        <w:rPr>
          <w:rFonts w:ascii="Times New Roman" w:cs="Times New Roman" w:eastAsia="Times New Roman" w:hAnsi="Times New Roman"/>
          <w:color w:val="2E2E2E"/>
          <w:sz w:val="19"/>
          <w:szCs w:val="19"/>
        </w:rPr>
        <w:t xml:space="preserve">Cabinet Approves Cut in Food Consumption Tax From 8% to 1%</w:t>
      </w:r>
      <w:r>
        <w:rPr>
          <w:rFonts w:ascii="Helvetica" w:cs="Helvetica" w:eastAsia="Helvetica" w:hAnsi="Helvetica"/>
          <w:i/>
          <w:iCs/>
          <w:color w:val="888888"/>
          <w:sz w:val="17"/>
          <w:szCs w:val="17"/>
        </w:rPr>
        <w:t xml:space="preserve">  (576 words)</w:t>
      </w:r>
    </w:p>
    <w:p>
      <w:pPr>
        <w:spacing w:after="40" w:before="40"/>
      </w:pPr>
      <w:r>
        <w:rPr>
          <w:rFonts w:ascii="Helvetica" w:cs="Helvetica" w:eastAsia="Helvetica" w:hAnsi="Helvetica"/>
          <w:b/>
          <w:bCs/>
          <w:color w:val="0D1B2A"/>
          <w:sz w:val="19"/>
          <w:szCs w:val="19"/>
        </w:rPr>
        <w:t xml:space="preserve">6. </w:t>
      </w:r>
      <w:r>
        <w:rPr>
          <w:rFonts w:ascii="Times New Roman" w:cs="Times New Roman" w:eastAsia="Times New Roman" w:hAnsi="Times New Roman"/>
          <w:color w:val="2E2E2E"/>
          <w:sz w:val="19"/>
          <w:szCs w:val="19"/>
        </w:rPr>
        <w:t xml:space="preserve">Constitutional Democrats' New Party Name in Focus as Centrist Faction Dissolves</w:t>
      </w:r>
      <w:r>
        <w:rPr>
          <w:rFonts w:ascii="Helvetica" w:cs="Helvetica" w:eastAsia="Helvetica" w:hAnsi="Helvetica"/>
          <w:i/>
          <w:iCs/>
          <w:color w:val="888888"/>
          <w:sz w:val="17"/>
          <w:szCs w:val="17"/>
        </w:rPr>
        <w:t xml:space="preserve">  (367 words)</w:t>
      </w:r>
    </w:p>
    <w:p>
      <w:pPr>
        <w:spacing w:after="40" w:before="40"/>
      </w:pPr>
      <w:r>
        <w:rPr>
          <w:rFonts w:ascii="Helvetica" w:cs="Helvetica" w:eastAsia="Helvetica" w:hAnsi="Helvetica"/>
          <w:b/>
          <w:bCs/>
          <w:color w:val="0D1B2A"/>
          <w:sz w:val="19"/>
          <w:szCs w:val="19"/>
        </w:rPr>
        <w:t xml:space="preserve">7. </w:t>
      </w:r>
      <w:r>
        <w:rPr>
          <w:rFonts w:ascii="Times New Roman" w:cs="Times New Roman" w:eastAsia="Times New Roman" w:hAnsi="Times New Roman"/>
          <w:color w:val="2E2E2E"/>
          <w:sz w:val="19"/>
          <w:szCs w:val="19"/>
        </w:rPr>
        <w:t xml:space="preserve">Part-Time Civil Servants to Receive Dependent and Housing Allowances From October</w:t>
      </w:r>
      <w:r>
        <w:rPr>
          <w:rFonts w:ascii="Helvetica" w:cs="Helvetica" w:eastAsia="Helvetica" w:hAnsi="Helvetica"/>
          <w:i/>
          <w:iCs/>
          <w:color w:val="888888"/>
          <w:sz w:val="17"/>
          <w:szCs w:val="17"/>
        </w:rPr>
        <w:t xml:space="preserve">  (364 words)</w:t>
      </w:r>
    </w:p>
    <w:p>
      <w:pPr>
        <w:spacing w:after="40" w:before="40"/>
      </w:pPr>
      <w:r>
        <w:rPr>
          <w:rFonts w:ascii="Helvetica" w:cs="Helvetica" w:eastAsia="Helvetica" w:hAnsi="Helvetica"/>
          <w:b/>
          <w:bCs/>
          <w:color w:val="0D1B2A"/>
          <w:sz w:val="19"/>
          <w:szCs w:val="19"/>
        </w:rPr>
        <w:t xml:space="preserve">8. </w:t>
      </w:r>
      <w:r>
        <w:rPr>
          <w:rFonts w:ascii="Times New Roman" w:cs="Times New Roman" w:eastAsia="Times New Roman" w:hAnsi="Times New Roman"/>
          <w:color w:val="2E2E2E"/>
          <w:sz w:val="19"/>
          <w:szCs w:val="19"/>
        </w:rPr>
        <w:t xml:space="preserve">Young Lawmakers Raise Detention of Japanese Citizens on Beijing Visit</w:t>
      </w:r>
      <w:r>
        <w:rPr>
          <w:rFonts w:ascii="Helvetica" w:cs="Helvetica" w:eastAsia="Helvetica" w:hAnsi="Helvetica"/>
          <w:i/>
          <w:iCs/>
          <w:color w:val="888888"/>
          <w:sz w:val="17"/>
          <w:szCs w:val="17"/>
        </w:rPr>
        <w:t xml:space="preserve">  (345 words)</w:t>
      </w:r>
    </w:p>
    <w:p>
      <w:pPr>
        <w:spacing w:after="40" w:before="40"/>
      </w:pPr>
      <w:r>
        <w:rPr>
          <w:rFonts w:ascii="Helvetica" w:cs="Helvetica" w:eastAsia="Helvetica" w:hAnsi="Helvetica"/>
          <w:b/>
          <w:bCs/>
          <w:color w:val="0D1B2A"/>
          <w:sz w:val="19"/>
          <w:szCs w:val="19"/>
        </w:rPr>
        <w:t xml:space="preserve">9. </w:t>
      </w:r>
      <w:r>
        <w:rPr>
          <w:rFonts w:ascii="Times New Roman" w:cs="Times New Roman" w:eastAsia="Times New Roman" w:hAnsi="Times New Roman"/>
          <w:color w:val="2E2E2E"/>
          <w:sz w:val="19"/>
          <w:szCs w:val="19"/>
        </w:rPr>
        <w:t xml:space="preserve">Ministry to Release Standard Land Prices Tuesday</w:t>
      </w:r>
      <w:r>
        <w:rPr>
          <w:rFonts w:ascii="Helvetica" w:cs="Helvetica" w:eastAsia="Helvetica" w:hAnsi="Helvetica"/>
          <w:i/>
          <w:iCs/>
          <w:color w:val="888888"/>
          <w:sz w:val="17"/>
          <w:szCs w:val="17"/>
        </w:rPr>
        <w:t xml:space="preserve">  (351 words)</w:t>
      </w:r>
    </w:p>
    <w:p>
      <w:pPr>
        <w:spacing w:after="40" w:before="40"/>
      </w:pPr>
      <w:r>
        <w:rPr>
          <w:rFonts w:ascii="Helvetica" w:cs="Helvetica" w:eastAsia="Helvetica" w:hAnsi="Helvetica"/>
          <w:b/>
          <w:bCs/>
          <w:color w:val="0D1B2A"/>
          <w:sz w:val="19"/>
          <w:szCs w:val="19"/>
        </w:rPr>
        <w:t xml:space="preserve">10. </w:t>
      </w:r>
      <w:r>
        <w:rPr>
          <w:rFonts w:ascii="Times New Roman" w:cs="Times New Roman" w:eastAsia="Times New Roman" w:hAnsi="Times New Roman"/>
          <w:color w:val="2E2E2E"/>
          <w:sz w:val="19"/>
          <w:szCs w:val="19"/>
        </w:rPr>
        <w:t xml:space="preserve">Reshuffle and Rate Decision Set to Land in the Same 48 Hours</w:t>
      </w:r>
      <w:r>
        <w:rPr>
          <w:rFonts w:ascii="Helvetica" w:cs="Helvetica" w:eastAsia="Helvetica" w:hAnsi="Helvetica"/>
          <w:i/>
          <w:iCs/>
          <w:color w:val="888888"/>
          <w:sz w:val="17"/>
          <w:szCs w:val="17"/>
        </w:rPr>
        <w:t xml:space="preserve">  (338 words)</w:t>
      </w:r>
    </w:p>
    <w:p>
      <w:pPr>
        <w:spacing w:after="40" w:before="40"/>
      </w:pPr>
      <w:r>
        <w:rPr>
          <w:rFonts w:ascii="Helvetica" w:cs="Helvetica" w:eastAsia="Helvetica" w:hAnsi="Helvetica"/>
          <w:b/>
          <w:bCs/>
          <w:color w:val="0D1B2A"/>
          <w:sz w:val="19"/>
          <w:szCs w:val="19"/>
        </w:rPr>
        <w:t xml:space="preserve">11. </w:t>
      </w:r>
      <w:r>
        <w:rPr>
          <w:rFonts w:ascii="Times New Roman" w:cs="Times New Roman" w:eastAsia="Times New Roman" w:hAnsi="Times New Roman"/>
          <w:color w:val="2E2E2E"/>
          <w:sz w:val="19"/>
          <w:szCs w:val="19"/>
        </w:rPr>
        <w:t xml:space="preserve">Okinawa Development Budget Set to Exceed ¥300 Billion</w:t>
      </w:r>
      <w:r>
        <w:rPr>
          <w:rFonts w:ascii="Helvetica" w:cs="Helvetica" w:eastAsia="Helvetica" w:hAnsi="Helvetica"/>
          <w:i/>
          <w:iCs/>
          <w:color w:val="888888"/>
          <w:sz w:val="17"/>
          <w:szCs w:val="17"/>
        </w:rPr>
        <w:t xml:space="preserve">  (345 words)</w:t>
      </w:r>
    </w:p>
    <w:p>
      <w:pPr>
        <w:spacing w:after="40" w:before="40"/>
      </w:pPr>
      <w:r>
        <w:rPr>
          <w:rFonts w:ascii="Helvetica" w:cs="Helvetica" w:eastAsia="Helvetica" w:hAnsi="Helvetica"/>
          <w:b/>
          <w:bCs/>
          <w:color w:val="0D1B2A"/>
          <w:sz w:val="19"/>
          <w:szCs w:val="19"/>
        </w:rPr>
        <w:t xml:space="preserve">12. </w:t>
      </w:r>
      <w:r>
        <w:rPr>
          <w:rFonts w:ascii="Times New Roman" w:cs="Times New Roman" w:eastAsia="Times New Roman" w:hAnsi="Times New Roman"/>
          <w:color w:val="2E2E2E"/>
          <w:sz w:val="19"/>
          <w:szCs w:val="19"/>
        </w:rPr>
        <w:t xml:space="preserve">Naha Begins Transition as Twelve Years of All-Okinawa Rule End</w:t>
      </w:r>
      <w:r>
        <w:rPr>
          <w:rFonts w:ascii="Helvetica" w:cs="Helvetica" w:eastAsia="Helvetica" w:hAnsi="Helvetica"/>
          <w:i/>
          <w:iCs/>
          <w:color w:val="888888"/>
          <w:sz w:val="17"/>
          <w:szCs w:val="17"/>
        </w:rPr>
        <w:t xml:space="preserve">  (331 words)</w:t>
      </w:r>
    </w:p>
    <w:p>
      <w:pPr>
        <w:spacing w:after="40" w:before="40"/>
      </w:pPr>
      <w:r>
        <w:rPr>
          <w:rFonts w:ascii="Helvetica" w:cs="Helvetica" w:eastAsia="Helvetica" w:hAnsi="Helvetica"/>
          <w:b/>
          <w:bCs/>
          <w:color w:val="0D1B2A"/>
          <w:sz w:val="19"/>
          <w:szCs w:val="19"/>
        </w:rPr>
        <w:t xml:space="preserve">13. </w:t>
      </w:r>
      <w:r>
        <w:rPr>
          <w:rFonts w:ascii="Times New Roman" w:cs="Times New Roman" w:eastAsia="Times New Roman" w:hAnsi="Times New Roman"/>
          <w:color w:val="2E2E2E"/>
          <w:sz w:val="19"/>
          <w:szCs w:val="19"/>
        </w:rPr>
        <w:t xml:space="preserve">Reshuffle Sets Up an Extraordinary Diet Session With a Full Agenda</w:t>
      </w:r>
      <w:r>
        <w:rPr>
          <w:rFonts w:ascii="Helvetica" w:cs="Helvetica" w:eastAsia="Helvetica" w:hAnsi="Helvetica"/>
          <w:i/>
          <w:iCs/>
          <w:color w:val="888888"/>
          <w:sz w:val="17"/>
          <w:szCs w:val="17"/>
        </w:rPr>
        <w:t xml:space="preserve">  (304 words)</w:t>
      </w:r>
    </w:p>
    <w:p>
      <w:pPr>
        <w:spacing w:after="40" w:before="40"/>
      </w:pPr>
      <w:r>
        <w:rPr>
          <w:rFonts w:ascii="Helvetica" w:cs="Helvetica" w:eastAsia="Helvetica" w:hAnsi="Helvetica"/>
          <w:b/>
          <w:bCs/>
          <w:color w:val="0D1B2A"/>
          <w:sz w:val="19"/>
          <w:szCs w:val="19"/>
        </w:rPr>
        <w:t xml:space="preserve">14. </w:t>
      </w:r>
      <w:r>
        <w:rPr>
          <w:rFonts w:ascii="Times New Roman" w:cs="Times New Roman" w:eastAsia="Times New Roman" w:hAnsi="Times New Roman"/>
          <w:color w:val="2E2E2E"/>
          <w:sz w:val="19"/>
          <w:szCs w:val="19"/>
        </w:rPr>
        <w:t xml:space="preserve">A Week That Stacks Decisions on Top of Each Other</w:t>
      </w:r>
      <w:r>
        <w:rPr>
          <w:rFonts w:ascii="Helvetica" w:cs="Helvetica" w:eastAsia="Helvetica" w:hAnsi="Helvetica"/>
          <w:i/>
          <w:iCs/>
          <w:color w:val="888888"/>
          <w:sz w:val="17"/>
          <w:szCs w:val="17"/>
        </w:rPr>
        <w:t xml:space="preserve">  (333 words)</w:t>
      </w:r>
    </w:p>
    <w:p>
      <w:pPr>
        <w:spacing w:after="40" w:before="40"/>
      </w:pPr>
      <w:r>
        <w:rPr>
          <w:rFonts w:ascii="Helvetica" w:cs="Helvetica" w:eastAsia="Helvetica" w:hAnsi="Helvetica"/>
          <w:b/>
          <w:bCs/>
          <w:color w:val="0D1B2A"/>
          <w:sz w:val="19"/>
          <w:szCs w:val="19"/>
        </w:rPr>
        <w:t xml:space="preserve">15. </w:t>
      </w:r>
      <w:r>
        <w:rPr>
          <w:rFonts w:ascii="Times New Roman" w:cs="Times New Roman" w:eastAsia="Times New Roman" w:hAnsi="Times New Roman"/>
          <w:color w:val="2E2E2E"/>
          <w:sz w:val="19"/>
          <w:szCs w:val="19"/>
        </w:rPr>
        <w:t xml:space="preserve">What a Cabinet Reshuffle Changes, and What It Does Not</w:t>
      </w:r>
      <w:r>
        <w:rPr>
          <w:rFonts w:ascii="Helvetica" w:cs="Helvetica" w:eastAsia="Helvetica" w:hAnsi="Helvetica"/>
          <w:i/>
          <w:iCs/>
          <w:color w:val="888888"/>
          <w:sz w:val="17"/>
          <w:szCs w:val="17"/>
        </w:rPr>
        <w:t xml:space="preserve">  (314 words)</w:t>
      </w:r>
    </w:p>
    <w:p>
      <w:pPr>
        <w:spacing w:after="40" w:before="40"/>
      </w:pPr>
      <w:r>
        <w:rPr>
          <w:rFonts w:ascii="Helvetica" w:cs="Helvetica" w:eastAsia="Helvetica" w:hAnsi="Helvetica"/>
          <w:b/>
          <w:bCs/>
          <w:color w:val="0D1B2A"/>
          <w:sz w:val="19"/>
          <w:szCs w:val="19"/>
        </w:rPr>
        <w:t xml:space="preserve">16. </w:t>
      </w:r>
      <w:r>
        <w:rPr>
          <w:rFonts w:ascii="Times New Roman" w:cs="Times New Roman" w:eastAsia="Times New Roman" w:hAnsi="Times New Roman"/>
          <w:color w:val="2E2E2E"/>
          <w:sz w:val="19"/>
          <w:szCs w:val="19"/>
        </w:rPr>
        <w:t xml:space="preserve">Twelve Years of All Okinawa: How the Coalition Rose and What It Leaves Behind</w:t>
      </w:r>
      <w:r>
        <w:rPr>
          <w:rFonts w:ascii="Helvetica" w:cs="Helvetica" w:eastAsia="Helvetica" w:hAnsi="Helvetica"/>
          <w:i/>
          <w:iCs/>
          <w:color w:val="888888"/>
          <w:sz w:val="17"/>
          <w:szCs w:val="17"/>
        </w:rPr>
        <w:t xml:space="preserve">  (360 words)</w:t>
      </w:r>
    </w:p>
    <w:p>
      <w:pPr>
        <w:spacing w:after="40" w:before="40"/>
      </w:pPr>
      <w:r>
        <w:rPr>
          <w:rFonts w:ascii="Helvetica" w:cs="Helvetica" w:eastAsia="Helvetica" w:hAnsi="Helvetica"/>
          <w:b/>
          <w:bCs/>
          <w:color w:val="0D1B2A"/>
          <w:sz w:val="19"/>
          <w:szCs w:val="19"/>
        </w:rPr>
        <w:t xml:space="preserve">17. </w:t>
      </w:r>
      <w:r>
        <w:rPr>
          <w:rFonts w:ascii="Times New Roman" w:cs="Times New Roman" w:eastAsia="Times New Roman" w:hAnsi="Times New Roman"/>
          <w:color w:val="2E2E2E"/>
          <w:sz w:val="19"/>
          <w:szCs w:val="19"/>
        </w:rPr>
        <w:t xml:space="preserve">The Consumption Tax at 37: A Short History of an Unpopular Levy</w:t>
      </w:r>
      <w:r>
        <w:rPr>
          <w:rFonts w:ascii="Helvetica" w:cs="Helvetica" w:eastAsia="Helvetica" w:hAnsi="Helvetica"/>
          <w:i/>
          <w:iCs/>
          <w:color w:val="888888"/>
          <w:sz w:val="17"/>
          <w:szCs w:val="17"/>
        </w:rPr>
        <w:t xml:space="preserve">  (384 words)</w:t>
      </w:r>
    </w:p>
    <w:p>
      <w:pPr>
        <w:spacing w:after="80" w:before="200"/>
      </w:pPr>
      <w:r>
        <w:rPr>
          <w:rFonts w:ascii="Helvetica" w:cs="Helvetica" w:eastAsia="Helvetica" w:hAnsi="Helvetica"/>
          <w:b/>
          <w:bCs/>
          <w:color w:val="0D1B2A"/>
          <w:sz w:val="22"/>
          <w:szCs w:val="22"/>
        </w:rPr>
        <w:t xml:space="preserve">ANALYSIS</w:t>
      </w:r>
    </w:p>
    <w:p>
      <w:pPr>
        <w:spacing w:after="40" w:before="40"/>
      </w:pPr>
      <w:r>
        <w:rPr>
          <w:rFonts w:ascii="Helvetica" w:cs="Helvetica" w:eastAsia="Helvetica" w:hAnsi="Helvetica"/>
          <w:b/>
          <w:bCs/>
          <w:color w:val="0D1B2A"/>
          <w:sz w:val="19"/>
          <w:szCs w:val="19"/>
        </w:rPr>
        <w:t xml:space="preserve">18. </w:t>
      </w:r>
      <w:r>
        <w:rPr>
          <w:rFonts w:ascii="Times New Roman" w:cs="Times New Roman" w:eastAsia="Times New Roman" w:hAnsi="Times New Roman"/>
          <w:color w:val="2E2E2E"/>
          <w:sz w:val="19"/>
          <w:szCs w:val="19"/>
        </w:rPr>
        <w:t xml:space="preserve">ANALYSIS: A Culture That Knew It Was Right</w:t>
      </w:r>
      <w:r>
        <w:rPr>
          <w:rFonts w:ascii="Helvetica" w:cs="Helvetica" w:eastAsia="Helvetica" w:hAnsi="Helvetica"/>
          <w:i/>
          <w:iCs/>
          <w:color w:val="888888"/>
          <w:sz w:val="17"/>
          <w:szCs w:val="17"/>
        </w:rPr>
        <w:t xml:space="preserve">  (492 words)</w:t>
      </w:r>
    </w:p>
    <w:p>
      <w:pPr>
        <w:spacing w:after="80" w:before="200"/>
      </w:pPr>
      <w:r>
        <w:rPr>
          <w:rFonts w:ascii="Helvetica" w:cs="Helvetica" w:eastAsia="Helvetica" w:hAnsi="Helvetica"/>
          <w:b/>
          <w:bCs/>
          <w:color w:val="0D1B2A"/>
          <w:sz w:val="22"/>
          <w:szCs w:val="22"/>
        </w:rPr>
        <w:t xml:space="preserve">INTERNATIONAL</w:t>
      </w:r>
    </w:p>
    <w:p>
      <w:pPr>
        <w:spacing w:after="40" w:before="40"/>
      </w:pPr>
      <w:r>
        <w:rPr>
          <w:rFonts w:ascii="Helvetica" w:cs="Helvetica" w:eastAsia="Helvetica" w:hAnsi="Helvetica"/>
          <w:b/>
          <w:bCs/>
          <w:color w:val="0D1B2A"/>
          <w:sz w:val="19"/>
          <w:szCs w:val="19"/>
        </w:rPr>
        <w:t xml:space="preserve">19. </w:t>
      </w:r>
      <w:r>
        <w:rPr>
          <w:rFonts w:ascii="Times New Roman" w:cs="Times New Roman" w:eastAsia="Times New Roman" w:hAnsi="Times New Roman"/>
          <w:color w:val="2E2E2E"/>
          <w:sz w:val="19"/>
          <w:szCs w:val="19"/>
        </w:rPr>
        <w:t xml:space="preserve">IAEA General Conference Opens With Iran on the Agenda</w:t>
      </w:r>
      <w:r>
        <w:rPr>
          <w:rFonts w:ascii="Helvetica" w:cs="Helvetica" w:eastAsia="Helvetica" w:hAnsi="Helvetica"/>
          <w:i/>
          <w:iCs/>
          <w:color w:val="888888"/>
          <w:sz w:val="17"/>
          <w:szCs w:val="17"/>
        </w:rPr>
        <w:t xml:space="preserve">  (465 words)</w:t>
      </w:r>
    </w:p>
    <w:p>
      <w:pPr>
        <w:spacing w:after="40" w:before="40"/>
      </w:pPr>
      <w:r>
        <w:rPr>
          <w:rFonts w:ascii="Helvetica" w:cs="Helvetica" w:eastAsia="Helvetica" w:hAnsi="Helvetica"/>
          <w:b/>
          <w:bCs/>
          <w:color w:val="0D1B2A"/>
          <w:sz w:val="19"/>
          <w:szCs w:val="19"/>
        </w:rPr>
        <w:t xml:space="preserve">20. </w:t>
      </w:r>
      <w:r>
        <w:rPr>
          <w:rFonts w:ascii="Times New Roman" w:cs="Times New Roman" w:eastAsia="Times New Roman" w:hAnsi="Times New Roman"/>
          <w:color w:val="2E2E2E"/>
          <w:sz w:val="19"/>
          <w:szCs w:val="19"/>
        </w:rPr>
        <w:t xml:space="preserve">Third Round of UN Secretary-General Voting Expected Thursday</w:t>
      </w:r>
      <w:r>
        <w:rPr>
          <w:rFonts w:ascii="Helvetica" w:cs="Helvetica" w:eastAsia="Helvetica" w:hAnsi="Helvetica"/>
          <w:i/>
          <w:iCs/>
          <w:color w:val="888888"/>
          <w:sz w:val="17"/>
          <w:szCs w:val="17"/>
        </w:rPr>
        <w:t xml:space="preserve">  (367 words)</w:t>
      </w:r>
    </w:p>
    <w:p>
      <w:pPr>
        <w:spacing w:after="40" w:before="40"/>
      </w:pPr>
      <w:r>
        <w:rPr>
          <w:rFonts w:ascii="Helvetica" w:cs="Helvetica" w:eastAsia="Helvetica" w:hAnsi="Helvetica"/>
          <w:b/>
          <w:bCs/>
          <w:color w:val="0D1B2A"/>
          <w:sz w:val="19"/>
          <w:szCs w:val="19"/>
        </w:rPr>
        <w:t xml:space="preserve">21. </w:t>
      </w:r>
      <w:r>
        <w:rPr>
          <w:rFonts w:ascii="Times New Roman" w:cs="Times New Roman" w:eastAsia="Times New Roman" w:hAnsi="Times New Roman"/>
          <w:color w:val="2E2E2E"/>
          <w:sz w:val="19"/>
          <w:szCs w:val="19"/>
        </w:rPr>
        <w:t xml:space="preserve">BRICS Summit Ends With Members Sharing a Bed but Not a Dream</w:t>
      </w:r>
      <w:r>
        <w:rPr>
          <w:rFonts w:ascii="Helvetica" w:cs="Helvetica" w:eastAsia="Helvetica" w:hAnsi="Helvetica"/>
          <w:i/>
          <w:iCs/>
          <w:color w:val="888888"/>
          <w:sz w:val="17"/>
          <w:szCs w:val="17"/>
        </w:rPr>
        <w:t xml:space="preserve">  (376 words)</w:t>
      </w:r>
    </w:p>
    <w:p>
      <w:pPr>
        <w:spacing w:after="40" w:before="40"/>
      </w:pPr>
      <w:r>
        <w:rPr>
          <w:rFonts w:ascii="Helvetica" w:cs="Helvetica" w:eastAsia="Helvetica" w:hAnsi="Helvetica"/>
          <w:b/>
          <w:bCs/>
          <w:color w:val="0D1B2A"/>
          <w:sz w:val="19"/>
          <w:szCs w:val="19"/>
        </w:rPr>
        <w:t xml:space="preserve">22. </w:t>
      </w:r>
      <w:r>
        <w:rPr>
          <w:rFonts w:ascii="Times New Roman" w:cs="Times New Roman" w:eastAsia="Times New Roman" w:hAnsi="Times New Roman"/>
          <w:color w:val="2E2E2E"/>
          <w:sz w:val="19"/>
          <w:szCs w:val="19"/>
        </w:rPr>
        <w:t xml:space="preserve">Mindanao Votes on Parliament to Anchor Autonomy</w:t>
      </w:r>
      <w:r>
        <w:rPr>
          <w:rFonts w:ascii="Helvetica" w:cs="Helvetica" w:eastAsia="Helvetica" w:hAnsi="Helvetica"/>
          <w:i/>
          <w:iCs/>
          <w:color w:val="888888"/>
          <w:sz w:val="17"/>
          <w:szCs w:val="17"/>
        </w:rPr>
        <w:t xml:space="preserve">  (345 words)</w:t>
      </w:r>
    </w:p>
    <w:p>
      <w:pPr>
        <w:spacing w:after="40" w:before="40"/>
      </w:pPr>
      <w:r>
        <w:rPr>
          <w:rFonts w:ascii="Helvetica" w:cs="Helvetica" w:eastAsia="Helvetica" w:hAnsi="Helvetica"/>
          <w:b/>
          <w:bCs/>
          <w:color w:val="0D1B2A"/>
          <w:sz w:val="19"/>
          <w:szCs w:val="19"/>
        </w:rPr>
        <w:t xml:space="preserve">23. </w:t>
      </w:r>
      <w:r>
        <w:rPr>
          <w:rFonts w:ascii="Times New Roman" w:cs="Times New Roman" w:eastAsia="Times New Roman" w:hAnsi="Times New Roman"/>
          <w:color w:val="2E2E2E"/>
          <w:sz w:val="19"/>
          <w:szCs w:val="19"/>
        </w:rPr>
        <w:t xml:space="preserve">Shipping Risk Premiums Hold as Chokepoint Pressure Continues</w:t>
      </w:r>
      <w:r>
        <w:rPr>
          <w:rFonts w:ascii="Helvetica" w:cs="Helvetica" w:eastAsia="Helvetica" w:hAnsi="Helvetica"/>
          <w:i/>
          <w:iCs/>
          <w:color w:val="888888"/>
          <w:sz w:val="17"/>
          <w:szCs w:val="17"/>
        </w:rPr>
        <w:t xml:space="preserve">  (356 words)</w:t>
      </w:r>
    </w:p>
    <w:p>
      <w:pPr>
        <w:spacing w:after="40" w:before="40"/>
      </w:pPr>
      <w:r>
        <w:rPr>
          <w:rFonts w:ascii="Helvetica" w:cs="Helvetica" w:eastAsia="Helvetica" w:hAnsi="Helvetica"/>
          <w:b/>
          <w:bCs/>
          <w:color w:val="0D1B2A"/>
          <w:sz w:val="19"/>
          <w:szCs w:val="19"/>
        </w:rPr>
        <w:t xml:space="preserve">24. </w:t>
      </w:r>
      <w:r>
        <w:rPr>
          <w:rFonts w:ascii="Times New Roman" w:cs="Times New Roman" w:eastAsia="Times New Roman" w:hAnsi="Times New Roman"/>
          <w:color w:val="2E2E2E"/>
          <w:sz w:val="19"/>
          <w:szCs w:val="19"/>
        </w:rPr>
        <w:t xml:space="preserve">Iran's Nuclear File Returns to Vienna Amid an Active Conflict</w:t>
      </w:r>
      <w:r>
        <w:rPr>
          <w:rFonts w:ascii="Helvetica" w:cs="Helvetica" w:eastAsia="Helvetica" w:hAnsi="Helvetica"/>
          <w:i/>
          <w:iCs/>
          <w:color w:val="888888"/>
          <w:sz w:val="17"/>
          <w:szCs w:val="17"/>
        </w:rPr>
        <w:t xml:space="preserve">  (335 words)</w:t>
      </w:r>
    </w:p>
    <w:p>
      <w:pPr>
        <w:spacing w:after="40" w:before="40"/>
      </w:pPr>
      <w:r>
        <w:rPr>
          <w:rFonts w:ascii="Helvetica" w:cs="Helvetica" w:eastAsia="Helvetica" w:hAnsi="Helvetica"/>
          <w:b/>
          <w:bCs/>
          <w:color w:val="0D1B2A"/>
          <w:sz w:val="19"/>
          <w:szCs w:val="19"/>
        </w:rPr>
        <w:t xml:space="preserve">25. </w:t>
      </w:r>
      <w:r>
        <w:rPr>
          <w:rFonts w:ascii="Times New Roman" w:cs="Times New Roman" w:eastAsia="Times New Roman" w:hAnsi="Times New Roman"/>
          <w:color w:val="2E2E2E"/>
          <w:sz w:val="19"/>
          <w:szCs w:val="19"/>
        </w:rPr>
        <w:t xml:space="preserve">Expansion Has Made BRICS Larger Without Making It Coherent</w:t>
      </w:r>
      <w:r>
        <w:rPr>
          <w:rFonts w:ascii="Helvetica" w:cs="Helvetica" w:eastAsia="Helvetica" w:hAnsi="Helvetica"/>
          <w:i/>
          <w:iCs/>
          <w:color w:val="888888"/>
          <w:sz w:val="17"/>
          <w:szCs w:val="17"/>
        </w:rPr>
        <w:t xml:space="preserve">  (330 words)</w:t>
      </w:r>
    </w:p>
    <w:p>
      <w:pPr>
        <w:spacing w:after="40" w:before="40"/>
      </w:pPr>
      <w:r>
        <w:rPr>
          <w:rFonts w:ascii="Helvetica" w:cs="Helvetica" w:eastAsia="Helvetica" w:hAnsi="Helvetica"/>
          <w:b/>
          <w:bCs/>
          <w:color w:val="0D1B2A"/>
          <w:sz w:val="19"/>
          <w:szCs w:val="19"/>
        </w:rPr>
        <w:t xml:space="preserve">26. </w:t>
      </w:r>
      <w:r>
        <w:rPr>
          <w:rFonts w:ascii="Times New Roman" w:cs="Times New Roman" w:eastAsia="Times New Roman" w:hAnsi="Times New Roman"/>
          <w:color w:val="2E2E2E"/>
          <w:sz w:val="19"/>
          <w:szCs w:val="19"/>
        </w:rPr>
        <w:t xml:space="preserve">After Salalah: What the Gulf-Iran Channel Can and Cannot Deliver</w:t>
      </w:r>
      <w:r>
        <w:rPr>
          <w:rFonts w:ascii="Helvetica" w:cs="Helvetica" w:eastAsia="Helvetica" w:hAnsi="Helvetica"/>
          <w:i/>
          <w:iCs/>
          <w:color w:val="888888"/>
          <w:sz w:val="17"/>
          <w:szCs w:val="17"/>
        </w:rPr>
        <w:t xml:space="preserve">  (361 words)</w:t>
      </w:r>
    </w:p>
    <w:p>
      <w:pPr>
        <w:spacing w:after="80" w:before="200"/>
      </w:pPr>
      <w:r>
        <w:rPr>
          <w:rFonts w:ascii="Helvetica" w:cs="Helvetica" w:eastAsia="Helvetica" w:hAnsi="Helvetica"/>
          <w:b/>
          <w:bCs/>
          <w:color w:val="0D1B2A"/>
          <w:sz w:val="22"/>
          <w:szCs w:val="22"/>
        </w:rPr>
        <w:t xml:space="preserve">ECONOMY</w:t>
      </w:r>
    </w:p>
    <w:p>
      <w:pPr>
        <w:spacing w:after="40" w:before="40"/>
      </w:pPr>
      <w:r>
        <w:rPr>
          <w:rFonts w:ascii="Helvetica" w:cs="Helvetica" w:eastAsia="Helvetica" w:hAnsi="Helvetica"/>
          <w:b/>
          <w:bCs/>
          <w:color w:val="0D1B2A"/>
          <w:sz w:val="19"/>
          <w:szCs w:val="19"/>
        </w:rPr>
        <w:t xml:space="preserve">27. </w:t>
      </w:r>
      <w:r>
        <w:rPr>
          <w:rFonts w:ascii="Times New Roman" w:cs="Times New Roman" w:eastAsia="Times New Roman" w:hAnsi="Times New Roman"/>
          <w:color w:val="2E2E2E"/>
          <w:sz w:val="19"/>
          <w:szCs w:val="19"/>
        </w:rPr>
        <w:t xml:space="preserve">Nikkei Slides to Six-Week Low as AI Names Lead a Split Market</w:t>
      </w:r>
      <w:r>
        <w:rPr>
          <w:rFonts w:ascii="Helvetica" w:cs="Helvetica" w:eastAsia="Helvetica" w:hAnsi="Helvetica"/>
          <w:i/>
          <w:iCs/>
          <w:color w:val="888888"/>
          <w:sz w:val="17"/>
          <w:szCs w:val="17"/>
        </w:rPr>
        <w:t xml:space="preserve">  (765 words)</w:t>
      </w:r>
    </w:p>
    <w:p>
      <w:pPr>
        <w:spacing w:after="40" w:before="40"/>
      </w:pPr>
      <w:r>
        <w:rPr>
          <w:rFonts w:ascii="Helvetica" w:cs="Helvetica" w:eastAsia="Helvetica" w:hAnsi="Helvetica"/>
          <w:b/>
          <w:bCs/>
          <w:color w:val="0D1B2A"/>
          <w:sz w:val="19"/>
          <w:szCs w:val="19"/>
        </w:rPr>
        <w:t xml:space="preserve">28. </w:t>
      </w:r>
      <w:r>
        <w:rPr>
          <w:rFonts w:ascii="Times New Roman" w:cs="Times New Roman" w:eastAsia="Times New Roman" w:hAnsi="Times New Roman"/>
          <w:color w:val="2E2E2E"/>
          <w:sz w:val="19"/>
          <w:szCs w:val="19"/>
        </w:rPr>
        <w:t xml:space="preserve">US Long-Term Yields Briefly Top 5% as Oil Drives Bond Selling</w:t>
      </w:r>
      <w:r>
        <w:rPr>
          <w:rFonts w:ascii="Helvetica" w:cs="Helvetica" w:eastAsia="Helvetica" w:hAnsi="Helvetica"/>
          <w:i/>
          <w:iCs/>
          <w:color w:val="888888"/>
          <w:sz w:val="17"/>
          <w:szCs w:val="17"/>
        </w:rPr>
        <w:t xml:space="preserve">  (387 words)</w:t>
      </w:r>
    </w:p>
    <w:p>
      <w:pPr>
        <w:spacing w:after="40" w:before="40"/>
      </w:pPr>
      <w:r>
        <w:rPr>
          <w:rFonts w:ascii="Helvetica" w:cs="Helvetica" w:eastAsia="Helvetica" w:hAnsi="Helvetica"/>
          <w:b/>
          <w:bCs/>
          <w:color w:val="0D1B2A"/>
          <w:sz w:val="19"/>
          <w:szCs w:val="19"/>
        </w:rPr>
        <w:t xml:space="preserve">29. </w:t>
      </w:r>
      <w:r>
        <w:rPr>
          <w:rFonts w:ascii="Times New Roman" w:cs="Times New Roman" w:eastAsia="Times New Roman" w:hAnsi="Times New Roman"/>
          <w:color w:val="2E2E2E"/>
          <w:sz w:val="19"/>
          <w:szCs w:val="19"/>
        </w:rPr>
        <w:t xml:space="preserve">Markets, Currencies and Prices at a Glance</w:t>
      </w:r>
      <w:r>
        <w:rPr>
          <w:rFonts w:ascii="Helvetica" w:cs="Helvetica" w:eastAsia="Helvetica" w:hAnsi="Helvetica"/>
          <w:i/>
          <w:iCs/>
          <w:color w:val="888888"/>
          <w:sz w:val="17"/>
          <w:szCs w:val="17"/>
        </w:rPr>
        <w:t xml:space="preserve">  (228 words)</w:t>
      </w:r>
    </w:p>
    <w:p>
      <w:pPr>
        <w:spacing w:after="40" w:before="40"/>
      </w:pPr>
      <w:r>
        <w:rPr>
          <w:rFonts w:ascii="Helvetica" w:cs="Helvetica" w:eastAsia="Helvetica" w:hAnsi="Helvetica"/>
          <w:b/>
          <w:bCs/>
          <w:color w:val="0D1B2A"/>
          <w:sz w:val="19"/>
          <w:szCs w:val="19"/>
        </w:rPr>
        <w:t xml:space="preserve">30. </w:t>
      </w:r>
      <w:r>
        <w:rPr>
          <w:rFonts w:ascii="Times New Roman" w:cs="Times New Roman" w:eastAsia="Times New Roman" w:hAnsi="Times New Roman"/>
          <w:color w:val="2E2E2E"/>
          <w:sz w:val="19"/>
          <w:szCs w:val="19"/>
        </w:rPr>
        <w:t xml:space="preserve">Health Insurance Evasion Scheme Drew 38 Companies and 11,610 People</w:t>
      </w:r>
      <w:r>
        <w:rPr>
          <w:rFonts w:ascii="Helvetica" w:cs="Helvetica" w:eastAsia="Helvetica" w:hAnsi="Helvetica"/>
          <w:i/>
          <w:iCs/>
          <w:color w:val="888888"/>
          <w:sz w:val="17"/>
          <w:szCs w:val="17"/>
        </w:rPr>
        <w:t xml:space="preserve">  (408 words)</w:t>
      </w:r>
    </w:p>
    <w:p>
      <w:pPr>
        <w:spacing w:after="40" w:before="40"/>
      </w:pPr>
      <w:r>
        <w:rPr>
          <w:rFonts w:ascii="Helvetica" w:cs="Helvetica" w:eastAsia="Helvetica" w:hAnsi="Helvetica"/>
          <w:b/>
          <w:bCs/>
          <w:color w:val="0D1B2A"/>
          <w:sz w:val="19"/>
          <w:szCs w:val="19"/>
        </w:rPr>
        <w:t xml:space="preserve">31. </w:t>
      </w:r>
      <w:r>
        <w:rPr>
          <w:rFonts w:ascii="Times New Roman" w:cs="Times New Roman" w:eastAsia="Times New Roman" w:hAnsi="Times New Roman"/>
          <w:color w:val="2E2E2E"/>
          <w:sz w:val="19"/>
          <w:szCs w:val="19"/>
        </w:rPr>
        <w:t xml:space="preserve">Bank of Japan Meets Wednesday With a Quarter-Point Move Priced In</w:t>
      </w:r>
      <w:r>
        <w:rPr>
          <w:rFonts w:ascii="Helvetica" w:cs="Helvetica" w:eastAsia="Helvetica" w:hAnsi="Helvetica"/>
          <w:i/>
          <w:iCs/>
          <w:color w:val="888888"/>
          <w:sz w:val="17"/>
          <w:szCs w:val="17"/>
        </w:rPr>
        <w:t xml:space="preserve">  (509 words)</w:t>
      </w:r>
    </w:p>
    <w:p>
      <w:pPr>
        <w:spacing w:after="40" w:before="40"/>
      </w:pPr>
      <w:r>
        <w:rPr>
          <w:rFonts w:ascii="Helvetica" w:cs="Helvetica" w:eastAsia="Helvetica" w:hAnsi="Helvetica"/>
          <w:b/>
          <w:bCs/>
          <w:color w:val="0D1B2A"/>
          <w:sz w:val="19"/>
          <w:szCs w:val="19"/>
        </w:rPr>
        <w:t xml:space="preserve">32. </w:t>
      </w:r>
      <w:r>
        <w:rPr>
          <w:rFonts w:ascii="Times New Roman" w:cs="Times New Roman" w:eastAsia="Times New Roman" w:hAnsi="Times New Roman"/>
          <w:color w:val="2E2E2E"/>
          <w:sz w:val="19"/>
          <w:szCs w:val="19"/>
        </w:rPr>
        <w:t xml:space="preserve">Households Face the Energy Bill Behind the Nuclear Delay</w:t>
      </w:r>
      <w:r>
        <w:rPr>
          <w:rFonts w:ascii="Helvetica" w:cs="Helvetica" w:eastAsia="Helvetica" w:hAnsi="Helvetica"/>
          <w:i/>
          <w:iCs/>
          <w:color w:val="888888"/>
          <w:sz w:val="17"/>
          <w:szCs w:val="17"/>
        </w:rPr>
        <w:t xml:space="preserve">  (353 words)</w:t>
      </w:r>
    </w:p>
    <w:p>
      <w:pPr>
        <w:spacing w:after="40" w:before="40"/>
      </w:pPr>
      <w:r>
        <w:rPr>
          <w:rFonts w:ascii="Helvetica" w:cs="Helvetica" w:eastAsia="Helvetica" w:hAnsi="Helvetica"/>
          <w:b/>
          <w:bCs/>
          <w:color w:val="0D1B2A"/>
          <w:sz w:val="19"/>
          <w:szCs w:val="19"/>
        </w:rPr>
        <w:t xml:space="preserve">33. </w:t>
      </w:r>
      <w:r>
        <w:rPr>
          <w:rFonts w:ascii="Times New Roman" w:cs="Times New Roman" w:eastAsia="Times New Roman" w:hAnsi="Times New Roman"/>
          <w:color w:val="2E2E2E"/>
          <w:sz w:val="19"/>
          <w:szCs w:val="19"/>
        </w:rPr>
        <w:t xml:space="preserve">FOMC Convenes With Oil-Driven Inflation Complicating the Picture</w:t>
      </w:r>
      <w:r>
        <w:rPr>
          <w:rFonts w:ascii="Helvetica" w:cs="Helvetica" w:eastAsia="Helvetica" w:hAnsi="Helvetica"/>
          <w:i/>
          <w:iCs/>
          <w:color w:val="888888"/>
          <w:sz w:val="17"/>
          <w:szCs w:val="17"/>
        </w:rPr>
        <w:t xml:space="preserve">  (339 words)</w:t>
      </w:r>
    </w:p>
    <w:p>
      <w:pPr>
        <w:spacing w:after="40" w:before="40"/>
      </w:pPr>
      <w:r>
        <w:rPr>
          <w:rFonts w:ascii="Helvetica" w:cs="Helvetica" w:eastAsia="Helvetica" w:hAnsi="Helvetica"/>
          <w:b/>
          <w:bCs/>
          <w:color w:val="0D1B2A"/>
          <w:sz w:val="19"/>
          <w:szCs w:val="19"/>
        </w:rPr>
        <w:t xml:space="preserve">34. </w:t>
      </w:r>
      <w:r>
        <w:rPr>
          <w:rFonts w:ascii="Times New Roman" w:cs="Times New Roman" w:eastAsia="Times New Roman" w:hAnsi="Times New Roman"/>
          <w:color w:val="2E2E2E"/>
          <w:sz w:val="19"/>
          <w:szCs w:val="19"/>
        </w:rPr>
        <w:t xml:space="preserve">Land Price Data Expected to Show a Widening Regional Split</w:t>
      </w:r>
      <w:r>
        <w:rPr>
          <w:rFonts w:ascii="Helvetica" w:cs="Helvetica" w:eastAsia="Helvetica" w:hAnsi="Helvetica"/>
          <w:i/>
          <w:iCs/>
          <w:color w:val="888888"/>
          <w:sz w:val="17"/>
          <w:szCs w:val="17"/>
        </w:rPr>
        <w:t xml:space="preserve">  (293 words)</w:t>
      </w:r>
    </w:p>
    <w:p>
      <w:pPr>
        <w:spacing w:after="40" w:before="40"/>
      </w:pPr>
      <w:r>
        <w:rPr>
          <w:rFonts w:ascii="Helvetica" w:cs="Helvetica" w:eastAsia="Helvetica" w:hAnsi="Helvetica"/>
          <w:b/>
          <w:bCs/>
          <w:color w:val="0D1B2A"/>
          <w:sz w:val="19"/>
          <w:szCs w:val="19"/>
        </w:rPr>
        <w:t xml:space="preserve">35. </w:t>
      </w:r>
      <w:r>
        <w:rPr>
          <w:rFonts w:ascii="Times New Roman" w:cs="Times New Roman" w:eastAsia="Times New Roman" w:hAnsi="Times New Roman"/>
          <w:color w:val="2E2E2E"/>
          <w:sz w:val="19"/>
          <w:szCs w:val="19"/>
        </w:rPr>
        <w:t xml:space="preserve">What a Nuclear Restart Review Actually Examines</w:t>
      </w:r>
      <w:r>
        <w:rPr>
          <w:rFonts w:ascii="Helvetica" w:cs="Helvetica" w:eastAsia="Helvetica" w:hAnsi="Helvetica"/>
          <w:i/>
          <w:iCs/>
          <w:color w:val="888888"/>
          <w:sz w:val="17"/>
          <w:szCs w:val="17"/>
        </w:rPr>
        <w:t xml:space="preserve">  (382 words)</w:t>
      </w:r>
    </w:p>
    <w:p>
      <w:pPr>
        <w:spacing w:after="40" w:before="40"/>
      </w:pPr>
      <w:r>
        <w:rPr>
          <w:rFonts w:ascii="Helvetica" w:cs="Helvetica" w:eastAsia="Helvetica" w:hAnsi="Helvetica"/>
          <w:b/>
          <w:bCs/>
          <w:color w:val="0D1B2A"/>
          <w:sz w:val="19"/>
          <w:szCs w:val="19"/>
        </w:rPr>
        <w:t xml:space="preserve">36. </w:t>
      </w:r>
      <w:r>
        <w:rPr>
          <w:rFonts w:ascii="Times New Roman" w:cs="Times New Roman" w:eastAsia="Times New Roman" w:hAnsi="Times New Roman"/>
          <w:color w:val="2E2E2E"/>
          <w:sz w:val="19"/>
          <w:szCs w:val="19"/>
        </w:rPr>
        <w:t xml:space="preserve">What a 154 Yen Dollar Means at the Checkout</w:t>
      </w:r>
      <w:r>
        <w:rPr>
          <w:rFonts w:ascii="Helvetica" w:cs="Helvetica" w:eastAsia="Helvetica" w:hAnsi="Helvetica"/>
          <w:i/>
          <w:iCs/>
          <w:color w:val="888888"/>
          <w:sz w:val="17"/>
          <w:szCs w:val="17"/>
        </w:rPr>
        <w:t xml:space="preserve">  (337 words)</w:t>
      </w:r>
    </w:p>
    <w:p>
      <w:pPr>
        <w:spacing w:after="40" w:before="40"/>
      </w:pPr>
      <w:r>
        <w:rPr>
          <w:rFonts w:ascii="Helvetica" w:cs="Helvetica" w:eastAsia="Helvetica" w:hAnsi="Helvetica"/>
          <w:b/>
          <w:bCs/>
          <w:color w:val="0D1B2A"/>
          <w:sz w:val="19"/>
          <w:szCs w:val="19"/>
        </w:rPr>
        <w:t xml:space="preserve">37. </w:t>
      </w:r>
      <w:r>
        <w:rPr>
          <w:rFonts w:ascii="Times New Roman" w:cs="Times New Roman" w:eastAsia="Times New Roman" w:hAnsi="Times New Roman"/>
          <w:color w:val="2E2E2E"/>
          <w:sz w:val="19"/>
          <w:szCs w:val="19"/>
        </w:rPr>
        <w:t xml:space="preserve">How to Read the Markets Table</w:t>
      </w:r>
      <w:r>
        <w:rPr>
          <w:rFonts w:ascii="Helvetica" w:cs="Helvetica" w:eastAsia="Helvetica" w:hAnsi="Helvetica"/>
          <w:i/>
          <w:iCs/>
          <w:color w:val="888888"/>
          <w:sz w:val="17"/>
          <w:szCs w:val="17"/>
        </w:rPr>
        <w:t xml:space="preserve">  (405 words)</w:t>
      </w:r>
    </w:p>
    <w:p>
      <w:pPr>
        <w:spacing w:after="40" w:before="40"/>
      </w:pPr>
      <w:r>
        <w:rPr>
          <w:rFonts w:ascii="Helvetica" w:cs="Helvetica" w:eastAsia="Helvetica" w:hAnsi="Helvetica"/>
          <w:b/>
          <w:bCs/>
          <w:color w:val="0D1B2A"/>
          <w:sz w:val="19"/>
          <w:szCs w:val="19"/>
        </w:rPr>
        <w:t xml:space="preserve">38. </w:t>
      </w:r>
      <w:r>
        <w:rPr>
          <w:rFonts w:ascii="Times New Roman" w:cs="Times New Roman" w:eastAsia="Times New Roman" w:hAnsi="Times New Roman"/>
          <w:color w:val="2E2E2E"/>
          <w:sz w:val="19"/>
          <w:szCs w:val="19"/>
        </w:rPr>
        <w:t xml:space="preserve">Wages: The Condition the Bank of Japan Keeps Naming</w:t>
      </w:r>
      <w:r>
        <w:rPr>
          <w:rFonts w:ascii="Helvetica" w:cs="Helvetica" w:eastAsia="Helvetica" w:hAnsi="Helvetica"/>
          <w:i/>
          <w:iCs/>
          <w:color w:val="888888"/>
          <w:sz w:val="17"/>
          <w:szCs w:val="17"/>
        </w:rPr>
        <w:t xml:space="preserve">  (338 words)</w:t>
      </w:r>
    </w:p>
    <w:p>
      <w:pPr>
        <w:spacing w:after="80" w:before="200"/>
      </w:pPr>
      <w:r>
        <w:rPr>
          <w:rFonts w:ascii="Helvetica" w:cs="Helvetica" w:eastAsia="Helvetica" w:hAnsi="Helvetica"/>
          <w:b/>
          <w:bCs/>
          <w:color w:val="0D1B2A"/>
          <w:sz w:val="22"/>
          <w:szCs w:val="22"/>
        </w:rPr>
        <w:t xml:space="preserve">BUSINESS</w:t>
      </w:r>
    </w:p>
    <w:p>
      <w:pPr>
        <w:spacing w:after="40" w:before="40"/>
      </w:pPr>
      <w:r>
        <w:rPr>
          <w:rFonts w:ascii="Helvetica" w:cs="Helvetica" w:eastAsia="Helvetica" w:hAnsi="Helvetica"/>
          <w:b/>
          <w:bCs/>
          <w:color w:val="0D1B2A"/>
          <w:sz w:val="19"/>
          <w:szCs w:val="19"/>
        </w:rPr>
        <w:t xml:space="preserve">39. </w:t>
      </w:r>
      <w:r>
        <w:rPr>
          <w:rFonts w:ascii="Times New Roman" w:cs="Times New Roman" w:eastAsia="Times New Roman" w:hAnsi="Times New Roman"/>
          <w:color w:val="2E2E2E"/>
          <w:sz w:val="19"/>
          <w:szCs w:val="19"/>
        </w:rPr>
        <w:t xml:space="preserve">Toyota to Expand Hydrogen Fuel Cell Supply to European Trucks</w:t>
      </w:r>
      <w:r>
        <w:rPr>
          <w:rFonts w:ascii="Helvetica" w:cs="Helvetica" w:eastAsia="Helvetica" w:hAnsi="Helvetica"/>
          <w:i/>
          <w:iCs/>
          <w:color w:val="888888"/>
          <w:sz w:val="17"/>
          <w:szCs w:val="17"/>
        </w:rPr>
        <w:t xml:space="preserve">  (403 words)</w:t>
      </w:r>
    </w:p>
    <w:p>
      <w:pPr>
        <w:spacing w:after="40" w:before="40"/>
      </w:pPr>
      <w:r>
        <w:rPr>
          <w:rFonts w:ascii="Helvetica" w:cs="Helvetica" w:eastAsia="Helvetica" w:hAnsi="Helvetica"/>
          <w:b/>
          <w:bCs/>
          <w:color w:val="0D1B2A"/>
          <w:sz w:val="19"/>
          <w:szCs w:val="19"/>
        </w:rPr>
        <w:t xml:space="preserve">40. </w:t>
      </w:r>
      <w:r>
        <w:rPr>
          <w:rFonts w:ascii="Times New Roman" w:cs="Times New Roman" w:eastAsia="Times New Roman" w:hAnsi="Times New Roman"/>
          <w:color w:val="2E2E2E"/>
          <w:sz w:val="19"/>
          <w:szCs w:val="19"/>
        </w:rPr>
        <w:t xml:space="preserve">Hikari Tsushin Launches ¥270 Billion Tender Offer for Leopalace21</w:t>
      </w:r>
      <w:r>
        <w:rPr>
          <w:rFonts w:ascii="Helvetica" w:cs="Helvetica" w:eastAsia="Helvetica" w:hAnsi="Helvetica"/>
          <w:i/>
          <w:iCs/>
          <w:color w:val="888888"/>
          <w:sz w:val="17"/>
          <w:szCs w:val="17"/>
        </w:rPr>
        <w:t xml:space="preserve">  (346 words)</w:t>
      </w:r>
    </w:p>
    <w:p>
      <w:pPr>
        <w:spacing w:after="40" w:before="40"/>
      </w:pPr>
      <w:r>
        <w:rPr>
          <w:rFonts w:ascii="Helvetica" w:cs="Helvetica" w:eastAsia="Helvetica" w:hAnsi="Helvetica"/>
          <w:b/>
          <w:bCs/>
          <w:color w:val="0D1B2A"/>
          <w:sz w:val="19"/>
          <w:szCs w:val="19"/>
        </w:rPr>
        <w:t xml:space="preserve">41. </w:t>
      </w:r>
      <w:r>
        <w:rPr>
          <w:rFonts w:ascii="Times New Roman" w:cs="Times New Roman" w:eastAsia="Times New Roman" w:hAnsi="Times New Roman"/>
          <w:color w:val="2E2E2E"/>
          <w:sz w:val="19"/>
          <w:szCs w:val="19"/>
        </w:rPr>
        <w:t xml:space="preserve">Docomo to Build More Than 10,000 5G Base Stations This Fiscal Year</w:t>
      </w:r>
      <w:r>
        <w:rPr>
          <w:rFonts w:ascii="Helvetica" w:cs="Helvetica" w:eastAsia="Helvetica" w:hAnsi="Helvetica"/>
          <w:i/>
          <w:iCs/>
          <w:color w:val="888888"/>
          <w:sz w:val="17"/>
          <w:szCs w:val="17"/>
        </w:rPr>
        <w:t xml:space="preserve">  (365 words)</w:t>
      </w:r>
    </w:p>
    <w:p>
      <w:pPr>
        <w:spacing w:after="40" w:before="40"/>
      </w:pPr>
      <w:r>
        <w:rPr>
          <w:rFonts w:ascii="Helvetica" w:cs="Helvetica" w:eastAsia="Helvetica" w:hAnsi="Helvetica"/>
          <w:b/>
          <w:bCs/>
          <w:color w:val="0D1B2A"/>
          <w:sz w:val="19"/>
          <w:szCs w:val="19"/>
        </w:rPr>
        <w:t xml:space="preserve">42. </w:t>
      </w:r>
      <w:r>
        <w:rPr>
          <w:rFonts w:ascii="Times New Roman" w:cs="Times New Roman" w:eastAsia="Times New Roman" w:hAnsi="Times New Roman"/>
          <w:color w:val="2E2E2E"/>
          <w:sz w:val="19"/>
          <w:szCs w:val="19"/>
        </w:rPr>
        <w:t xml:space="preserve">Saudi East-West Pipeline Repair Seen Taking Three to Five Weeks</w:t>
      </w:r>
      <w:r>
        <w:rPr>
          <w:rFonts w:ascii="Helvetica" w:cs="Helvetica" w:eastAsia="Helvetica" w:hAnsi="Helvetica"/>
          <w:i/>
          <w:iCs/>
          <w:color w:val="888888"/>
          <w:sz w:val="17"/>
          <w:szCs w:val="17"/>
        </w:rPr>
        <w:t xml:space="preserve">  (460 words)</w:t>
      </w:r>
    </w:p>
    <w:p>
      <w:pPr>
        <w:spacing w:after="40" w:before="40"/>
      </w:pPr>
      <w:r>
        <w:rPr>
          <w:rFonts w:ascii="Helvetica" w:cs="Helvetica" w:eastAsia="Helvetica" w:hAnsi="Helvetica"/>
          <w:b/>
          <w:bCs/>
          <w:color w:val="0D1B2A"/>
          <w:sz w:val="19"/>
          <w:szCs w:val="19"/>
        </w:rPr>
        <w:t xml:space="preserve">43. </w:t>
      </w:r>
      <w:r>
        <w:rPr>
          <w:rFonts w:ascii="Times New Roman" w:cs="Times New Roman" w:eastAsia="Times New Roman" w:hAnsi="Times New Roman"/>
          <w:color w:val="2E2E2E"/>
          <w:sz w:val="19"/>
          <w:szCs w:val="19"/>
        </w:rPr>
        <w:t xml:space="preserve">Utility Shares and Power Prices Face a Longer Nuclear Wait</w:t>
      </w:r>
      <w:r>
        <w:rPr>
          <w:rFonts w:ascii="Helvetica" w:cs="Helvetica" w:eastAsia="Helvetica" w:hAnsi="Helvetica"/>
          <w:i/>
          <w:iCs/>
          <w:color w:val="888888"/>
          <w:sz w:val="17"/>
          <w:szCs w:val="17"/>
        </w:rPr>
        <w:t xml:space="preserve">  (466 words)</w:t>
      </w:r>
    </w:p>
    <w:p>
      <w:pPr>
        <w:spacing w:after="40" w:before="40"/>
      </w:pPr>
      <w:r>
        <w:rPr>
          <w:rFonts w:ascii="Helvetica" w:cs="Helvetica" w:eastAsia="Helvetica" w:hAnsi="Helvetica"/>
          <w:b/>
          <w:bCs/>
          <w:color w:val="0D1B2A"/>
          <w:sz w:val="19"/>
          <w:szCs w:val="19"/>
        </w:rPr>
        <w:t xml:space="preserve">44. </w:t>
      </w:r>
      <w:r>
        <w:rPr>
          <w:rFonts w:ascii="Times New Roman" w:cs="Times New Roman" w:eastAsia="Times New Roman" w:hAnsi="Times New Roman"/>
          <w:color w:val="2E2E2E"/>
          <w:sz w:val="19"/>
          <w:szCs w:val="19"/>
        </w:rPr>
        <w:t xml:space="preserve">OpenAI IPO Postponement Removes an Anticipated Catalyst for AI Valuations</w:t>
      </w:r>
      <w:r>
        <w:rPr>
          <w:rFonts w:ascii="Helvetica" w:cs="Helvetica" w:eastAsia="Helvetica" w:hAnsi="Helvetica"/>
          <w:i/>
          <w:iCs/>
          <w:color w:val="888888"/>
          <w:sz w:val="17"/>
          <w:szCs w:val="17"/>
        </w:rPr>
        <w:t xml:space="preserve">  (343 words)</w:t>
      </w:r>
    </w:p>
    <w:p>
      <w:pPr>
        <w:spacing w:after="40" w:before="40"/>
      </w:pPr>
      <w:r>
        <w:rPr>
          <w:rFonts w:ascii="Helvetica" w:cs="Helvetica" w:eastAsia="Helvetica" w:hAnsi="Helvetica"/>
          <w:b/>
          <w:bCs/>
          <w:color w:val="0D1B2A"/>
          <w:sz w:val="19"/>
          <w:szCs w:val="19"/>
        </w:rPr>
        <w:t xml:space="preserve">45. </w:t>
      </w:r>
      <w:r>
        <w:rPr>
          <w:rFonts w:ascii="Times New Roman" w:cs="Times New Roman" w:eastAsia="Times New Roman" w:hAnsi="Times New Roman"/>
          <w:color w:val="2E2E2E"/>
          <w:sz w:val="19"/>
          <w:szCs w:val="19"/>
        </w:rPr>
        <w:t xml:space="preserve">Chip Equipment Makers Bear the Brunt of the AI Selloff</w:t>
      </w:r>
      <w:r>
        <w:rPr>
          <w:rFonts w:ascii="Helvetica" w:cs="Helvetica" w:eastAsia="Helvetica" w:hAnsi="Helvetica"/>
          <w:i/>
          <w:iCs/>
          <w:color w:val="888888"/>
          <w:sz w:val="17"/>
          <w:szCs w:val="17"/>
        </w:rPr>
        <w:t xml:space="preserve">  (371 words)</w:t>
      </w:r>
    </w:p>
    <w:p>
      <w:pPr>
        <w:spacing w:after="40" w:before="40"/>
      </w:pPr>
      <w:r>
        <w:rPr>
          <w:rFonts w:ascii="Helvetica" w:cs="Helvetica" w:eastAsia="Helvetica" w:hAnsi="Helvetica"/>
          <w:b/>
          <w:bCs/>
          <w:color w:val="0D1B2A"/>
          <w:sz w:val="19"/>
          <w:szCs w:val="19"/>
        </w:rPr>
        <w:t xml:space="preserve">46. </w:t>
      </w:r>
      <w:r>
        <w:rPr>
          <w:rFonts w:ascii="Times New Roman" w:cs="Times New Roman" w:eastAsia="Times New Roman" w:hAnsi="Times New Roman"/>
          <w:color w:val="2E2E2E"/>
          <w:sz w:val="19"/>
          <w:szCs w:val="19"/>
        </w:rPr>
        <w:t xml:space="preserve">SoftBank Group Falls More Than 10% Intraday on AI Repricing</w:t>
      </w:r>
      <w:r>
        <w:rPr>
          <w:rFonts w:ascii="Helvetica" w:cs="Helvetica" w:eastAsia="Helvetica" w:hAnsi="Helvetica"/>
          <w:i/>
          <w:iCs/>
          <w:color w:val="888888"/>
          <w:sz w:val="17"/>
          <w:szCs w:val="17"/>
        </w:rPr>
        <w:t xml:space="preserve">  (358 words)</w:t>
      </w:r>
    </w:p>
    <w:p>
      <w:pPr>
        <w:spacing w:after="40" w:before="40"/>
      </w:pPr>
      <w:r>
        <w:rPr>
          <w:rFonts w:ascii="Helvetica" w:cs="Helvetica" w:eastAsia="Helvetica" w:hAnsi="Helvetica"/>
          <w:b/>
          <w:bCs/>
          <w:color w:val="0D1B2A"/>
          <w:sz w:val="19"/>
          <w:szCs w:val="19"/>
        </w:rPr>
        <w:t xml:space="preserve">47. </w:t>
      </w:r>
      <w:r>
        <w:rPr>
          <w:rFonts w:ascii="Times New Roman" w:cs="Times New Roman" w:eastAsia="Times New Roman" w:hAnsi="Times New Roman"/>
          <w:color w:val="2E2E2E"/>
          <w:sz w:val="19"/>
          <w:szCs w:val="19"/>
        </w:rPr>
        <w:t xml:space="preserve">Leopalace Deal Lands in a Rental Market Facing Higher Financing Costs</w:t>
      </w:r>
      <w:r>
        <w:rPr>
          <w:rFonts w:ascii="Helvetica" w:cs="Helvetica" w:eastAsia="Helvetica" w:hAnsi="Helvetica"/>
          <w:i/>
          <w:iCs/>
          <w:color w:val="888888"/>
          <w:sz w:val="17"/>
          <w:szCs w:val="17"/>
        </w:rPr>
        <w:t xml:space="preserve">  (310 words)</w:t>
      </w:r>
    </w:p>
    <w:p>
      <w:pPr>
        <w:spacing w:after="40" w:before="40"/>
      </w:pPr>
      <w:r>
        <w:rPr>
          <w:rFonts w:ascii="Helvetica" w:cs="Helvetica" w:eastAsia="Helvetica" w:hAnsi="Helvetica"/>
          <w:b/>
          <w:bCs/>
          <w:color w:val="0D1B2A"/>
          <w:sz w:val="19"/>
          <w:szCs w:val="19"/>
        </w:rPr>
        <w:t xml:space="preserve">48. </w:t>
      </w:r>
      <w:r>
        <w:rPr>
          <w:rFonts w:ascii="Times New Roman" w:cs="Times New Roman" w:eastAsia="Times New Roman" w:hAnsi="Times New Roman"/>
          <w:color w:val="2E2E2E"/>
          <w:sz w:val="19"/>
          <w:szCs w:val="19"/>
        </w:rPr>
        <w:t xml:space="preserve">Import Bill Climbs as Crude Holds Above $100</w:t>
      </w:r>
      <w:r>
        <w:rPr>
          <w:rFonts w:ascii="Helvetica" w:cs="Helvetica" w:eastAsia="Helvetica" w:hAnsi="Helvetica"/>
          <w:i/>
          <w:iCs/>
          <w:color w:val="888888"/>
          <w:sz w:val="17"/>
          <w:szCs w:val="17"/>
        </w:rPr>
        <w:t xml:space="preserve">  (337 words)</w:t>
      </w:r>
    </w:p>
    <w:p>
      <w:pPr>
        <w:spacing w:after="40" w:before="40"/>
      </w:pPr>
      <w:r>
        <w:rPr>
          <w:rFonts w:ascii="Helvetica" w:cs="Helvetica" w:eastAsia="Helvetica" w:hAnsi="Helvetica"/>
          <w:b/>
          <w:bCs/>
          <w:color w:val="0D1B2A"/>
          <w:sz w:val="19"/>
          <w:szCs w:val="19"/>
        </w:rPr>
        <w:t xml:space="preserve">49. </w:t>
      </w:r>
      <w:r>
        <w:rPr>
          <w:rFonts w:ascii="Times New Roman" w:cs="Times New Roman" w:eastAsia="Times New Roman" w:hAnsi="Times New Roman"/>
          <w:color w:val="2E2E2E"/>
          <w:sz w:val="19"/>
          <w:szCs w:val="19"/>
        </w:rPr>
        <w:t xml:space="preserve">Japan's LNG Position Limits Its Room to Move on Russia</w:t>
      </w:r>
      <w:r>
        <w:rPr>
          <w:rFonts w:ascii="Helvetica" w:cs="Helvetica" w:eastAsia="Helvetica" w:hAnsi="Helvetica"/>
          <w:i/>
          <w:iCs/>
          <w:color w:val="888888"/>
          <w:sz w:val="17"/>
          <w:szCs w:val="17"/>
        </w:rPr>
        <w:t xml:space="preserve">  (308 words)</w:t>
      </w:r>
    </w:p>
    <w:p>
      <w:pPr>
        <w:spacing w:after="40" w:before="40"/>
      </w:pPr>
      <w:r>
        <w:rPr>
          <w:rFonts w:ascii="Helvetica" w:cs="Helvetica" w:eastAsia="Helvetica" w:hAnsi="Helvetica"/>
          <w:b/>
          <w:bCs/>
          <w:color w:val="0D1B2A"/>
          <w:sz w:val="19"/>
          <w:szCs w:val="19"/>
        </w:rPr>
        <w:t xml:space="preserve">50. </w:t>
      </w:r>
      <w:r>
        <w:rPr>
          <w:rFonts w:ascii="Times New Roman" w:cs="Times New Roman" w:eastAsia="Times New Roman" w:hAnsi="Times New Roman"/>
          <w:color w:val="2E2E2E"/>
          <w:sz w:val="19"/>
          <w:szCs w:val="19"/>
        </w:rPr>
        <w:t xml:space="preserve">The Mechanism That Puts Gulf Oil Prices on Japanese Electricity Bills</w:t>
      </w:r>
      <w:r>
        <w:rPr>
          <w:rFonts w:ascii="Helvetica" w:cs="Helvetica" w:eastAsia="Helvetica" w:hAnsi="Helvetica"/>
          <w:i/>
          <w:iCs/>
          <w:color w:val="888888"/>
          <w:sz w:val="17"/>
          <w:szCs w:val="17"/>
        </w:rPr>
        <w:t xml:space="preserve">  (348 words)</w:t>
      </w:r>
    </w:p>
    <w:p>
      <w:pPr>
        <w:spacing w:after="40" w:before="40"/>
      </w:pPr>
      <w:r>
        <w:rPr>
          <w:rFonts w:ascii="Helvetica" w:cs="Helvetica" w:eastAsia="Helvetica" w:hAnsi="Helvetica"/>
          <w:b/>
          <w:bCs/>
          <w:color w:val="0D1B2A"/>
          <w:sz w:val="19"/>
          <w:szCs w:val="19"/>
        </w:rPr>
        <w:t xml:space="preserve">51. </w:t>
      </w:r>
      <w:r>
        <w:rPr>
          <w:rFonts w:ascii="Times New Roman" w:cs="Times New Roman" w:eastAsia="Times New Roman" w:hAnsi="Times New Roman"/>
          <w:color w:val="2E2E2E"/>
          <w:sz w:val="19"/>
          <w:szCs w:val="19"/>
        </w:rPr>
        <w:t xml:space="preserve">Banks Are the Quiet Beneficiaries of the Rate Turn</w:t>
      </w:r>
      <w:r>
        <w:rPr>
          <w:rFonts w:ascii="Helvetica" w:cs="Helvetica" w:eastAsia="Helvetica" w:hAnsi="Helvetica"/>
          <w:i/>
          <w:iCs/>
          <w:color w:val="888888"/>
          <w:sz w:val="17"/>
          <w:szCs w:val="17"/>
        </w:rPr>
        <w:t xml:space="preserve">  (328 words)</w:t>
      </w:r>
    </w:p>
    <w:p>
      <w:pPr>
        <w:spacing w:after="80" w:before="200"/>
      </w:pPr>
      <w:r>
        <w:rPr>
          <w:rFonts w:ascii="Helvetica" w:cs="Helvetica" w:eastAsia="Helvetica" w:hAnsi="Helvetica"/>
          <w:b/>
          <w:bCs/>
          <w:color w:val="0D1B2A"/>
          <w:sz w:val="22"/>
          <w:szCs w:val="22"/>
        </w:rPr>
        <w:t xml:space="preserve">COURTS</w:t>
      </w:r>
    </w:p>
    <w:p>
      <w:pPr>
        <w:spacing w:after="40" w:before="40"/>
      </w:pPr>
      <w:r>
        <w:rPr>
          <w:rFonts w:ascii="Helvetica" w:cs="Helvetica" w:eastAsia="Helvetica" w:hAnsi="Helvetica"/>
          <w:b/>
          <w:bCs/>
          <w:color w:val="0D1B2A"/>
          <w:sz w:val="19"/>
          <w:szCs w:val="19"/>
        </w:rPr>
        <w:t xml:space="preserve">52. </w:t>
      </w:r>
      <w:r>
        <w:rPr>
          <w:rFonts w:ascii="Times New Roman" w:cs="Times New Roman" w:eastAsia="Times New Roman" w:hAnsi="Times New Roman"/>
          <w:color w:val="2E2E2E"/>
          <w:sz w:val="19"/>
          <w:szCs w:val="19"/>
        </w:rPr>
        <w:t xml:space="preserve">Suspended Sentences in Tokyo Women's Medical University Breach of Trust Case</w:t>
      </w:r>
      <w:r>
        <w:rPr>
          <w:rFonts w:ascii="Helvetica" w:cs="Helvetica" w:eastAsia="Helvetica" w:hAnsi="Helvetica"/>
          <w:i/>
          <w:iCs/>
          <w:color w:val="888888"/>
          <w:sz w:val="17"/>
          <w:szCs w:val="17"/>
        </w:rPr>
        <w:t xml:space="preserve">  (432 words)</w:t>
      </w:r>
    </w:p>
    <w:p>
      <w:pPr>
        <w:spacing w:after="40" w:before="40"/>
      </w:pPr>
      <w:r>
        <w:rPr>
          <w:rFonts w:ascii="Helvetica" w:cs="Helvetica" w:eastAsia="Helvetica" w:hAnsi="Helvetica"/>
          <w:b/>
          <w:bCs/>
          <w:color w:val="0D1B2A"/>
          <w:sz w:val="19"/>
          <w:szCs w:val="19"/>
        </w:rPr>
        <w:t xml:space="preserve">53. </w:t>
      </w:r>
      <w:r>
        <w:rPr>
          <w:rFonts w:ascii="Times New Roman" w:cs="Times New Roman" w:eastAsia="Times New Roman" w:hAnsi="Times New Roman"/>
          <w:color w:val="2E2E2E"/>
          <w:sz w:val="19"/>
          <w:szCs w:val="19"/>
        </w:rPr>
        <w:t xml:space="preserve">Former Boyfriend Pleads Guilty at Opening of Nail Artist Murder Trial</w:t>
      </w:r>
      <w:r>
        <w:rPr>
          <w:rFonts w:ascii="Helvetica" w:cs="Helvetica" w:eastAsia="Helvetica" w:hAnsi="Helvetica"/>
          <w:i/>
          <w:iCs/>
          <w:color w:val="888888"/>
          <w:sz w:val="17"/>
          <w:szCs w:val="17"/>
        </w:rPr>
        <w:t xml:space="preserve">  (386 words)</w:t>
      </w:r>
    </w:p>
    <w:p>
      <w:pPr>
        <w:spacing w:after="40" w:before="40"/>
      </w:pPr>
      <w:r>
        <w:rPr>
          <w:rFonts w:ascii="Helvetica" w:cs="Helvetica" w:eastAsia="Helvetica" w:hAnsi="Helvetica"/>
          <w:b/>
          <w:bCs/>
          <w:color w:val="0D1B2A"/>
          <w:sz w:val="19"/>
          <w:szCs w:val="19"/>
        </w:rPr>
        <w:t xml:space="preserve">54. </w:t>
      </w:r>
      <w:r>
        <w:rPr>
          <w:rFonts w:ascii="Times New Roman" w:cs="Times New Roman" w:eastAsia="Times New Roman" w:hAnsi="Times New Roman"/>
          <w:color w:val="2E2E2E"/>
          <w:sz w:val="19"/>
          <w:szCs w:val="19"/>
        </w:rPr>
        <w:t xml:space="preserve">Driver Who Fell Asleep From Sleep Apnea Indicted for Dangerous Driving</w:t>
      </w:r>
      <w:r>
        <w:rPr>
          <w:rFonts w:ascii="Helvetica" w:cs="Helvetica" w:eastAsia="Helvetica" w:hAnsi="Helvetica"/>
          <w:i/>
          <w:iCs/>
          <w:color w:val="888888"/>
          <w:sz w:val="17"/>
          <w:szCs w:val="17"/>
        </w:rPr>
        <w:t xml:space="preserve">  (379 words)</w:t>
      </w:r>
    </w:p>
    <w:p>
      <w:pPr>
        <w:spacing w:after="80" w:before="200"/>
      </w:pPr>
      <w:r>
        <w:rPr>
          <w:rFonts w:ascii="Helvetica" w:cs="Helvetica" w:eastAsia="Helvetica" w:hAnsi="Helvetica"/>
          <w:b/>
          <w:bCs/>
          <w:color w:val="0D1B2A"/>
          <w:sz w:val="22"/>
          <w:szCs w:val="22"/>
        </w:rPr>
        <w:t xml:space="preserve">SOCIETY</w:t>
      </w:r>
    </w:p>
    <w:p>
      <w:pPr>
        <w:spacing w:after="40" w:before="40"/>
      </w:pPr>
      <w:r>
        <w:rPr>
          <w:rFonts w:ascii="Helvetica" w:cs="Helvetica" w:eastAsia="Helvetica" w:hAnsi="Helvetica"/>
          <w:b/>
          <w:bCs/>
          <w:color w:val="0D1B2A"/>
          <w:sz w:val="19"/>
          <w:szCs w:val="19"/>
        </w:rPr>
        <w:t xml:space="preserve">55. </w:t>
      </w:r>
      <w:r>
        <w:rPr>
          <w:rFonts w:ascii="Times New Roman" w:cs="Times New Roman" w:eastAsia="Times New Roman" w:hAnsi="Times New Roman"/>
          <w:color w:val="2E2E2E"/>
          <w:sz w:val="19"/>
          <w:szCs w:val="19"/>
        </w:rPr>
        <w:t xml:space="preserve">Yamanashi to Charge for Off-Season Mt. Fuji Rescue Flights</w:t>
      </w:r>
      <w:r>
        <w:rPr>
          <w:rFonts w:ascii="Helvetica" w:cs="Helvetica" w:eastAsia="Helvetica" w:hAnsi="Helvetica"/>
          <w:i/>
          <w:iCs/>
          <w:color w:val="888888"/>
          <w:sz w:val="17"/>
          <w:szCs w:val="17"/>
        </w:rPr>
        <w:t xml:space="preserve">  (625 words)</w:t>
      </w:r>
    </w:p>
    <w:p>
      <w:pPr>
        <w:spacing w:after="40" w:before="40"/>
      </w:pPr>
      <w:r>
        <w:rPr>
          <w:rFonts w:ascii="Helvetica" w:cs="Helvetica" w:eastAsia="Helvetica" w:hAnsi="Helvetica"/>
          <w:b/>
          <w:bCs/>
          <w:color w:val="0D1B2A"/>
          <w:sz w:val="19"/>
          <w:szCs w:val="19"/>
        </w:rPr>
        <w:t xml:space="preserve">56. </w:t>
      </w:r>
      <w:r>
        <w:rPr>
          <w:rFonts w:ascii="Times New Roman" w:cs="Times New Roman" w:eastAsia="Times New Roman" w:hAnsi="Times New Roman"/>
          <w:color w:val="2E2E2E"/>
          <w:sz w:val="19"/>
          <w:szCs w:val="19"/>
        </w:rPr>
        <w:t xml:space="preserve">198 Foreign Object Cases in Yokohama Junior High School Lunches</w:t>
      </w:r>
      <w:r>
        <w:rPr>
          <w:rFonts w:ascii="Helvetica" w:cs="Helvetica" w:eastAsia="Helvetica" w:hAnsi="Helvetica"/>
          <w:i/>
          <w:iCs/>
          <w:color w:val="888888"/>
          <w:sz w:val="17"/>
          <w:szCs w:val="17"/>
        </w:rPr>
        <w:t xml:space="preserve">  (473 words)</w:t>
      </w:r>
    </w:p>
    <w:p>
      <w:pPr>
        <w:spacing w:after="40" w:before="40"/>
      </w:pPr>
      <w:r>
        <w:rPr>
          <w:rFonts w:ascii="Helvetica" w:cs="Helvetica" w:eastAsia="Helvetica" w:hAnsi="Helvetica"/>
          <w:b/>
          <w:bCs/>
          <w:color w:val="0D1B2A"/>
          <w:sz w:val="19"/>
          <w:szCs w:val="19"/>
        </w:rPr>
        <w:t xml:space="preserve">57. </w:t>
      </w:r>
      <w:r>
        <w:rPr>
          <w:rFonts w:ascii="Times New Roman" w:cs="Times New Roman" w:eastAsia="Times New Roman" w:hAnsi="Times New Roman"/>
          <w:color w:val="2E2E2E"/>
          <w:sz w:val="19"/>
          <w:szCs w:val="19"/>
        </w:rPr>
        <w:t xml:space="preserve">Applications Open for the Common University Entrance Examination</w:t>
      </w:r>
      <w:r>
        <w:rPr>
          <w:rFonts w:ascii="Helvetica" w:cs="Helvetica" w:eastAsia="Helvetica" w:hAnsi="Helvetica"/>
          <w:i/>
          <w:iCs/>
          <w:color w:val="888888"/>
          <w:sz w:val="17"/>
          <w:szCs w:val="17"/>
        </w:rPr>
        <w:t xml:space="preserve">  (372 words)</w:t>
      </w:r>
    </w:p>
    <w:p>
      <w:pPr>
        <w:spacing w:after="40" w:before="40"/>
      </w:pPr>
      <w:r>
        <w:rPr>
          <w:rFonts w:ascii="Helvetica" w:cs="Helvetica" w:eastAsia="Helvetica" w:hAnsi="Helvetica"/>
          <w:b/>
          <w:bCs/>
          <w:color w:val="0D1B2A"/>
          <w:sz w:val="19"/>
          <w:szCs w:val="19"/>
        </w:rPr>
        <w:t xml:space="preserve">58. </w:t>
      </w:r>
      <w:r>
        <w:rPr>
          <w:rFonts w:ascii="Times New Roman" w:cs="Times New Roman" w:eastAsia="Times New Roman" w:hAnsi="Times New Roman"/>
          <w:color w:val="2E2E2E"/>
          <w:sz w:val="19"/>
          <w:szCs w:val="19"/>
        </w:rPr>
        <w:t xml:space="preserve">Family of Student Lost in Henoko Capsizing Urges Shared Responsibility</w:t>
      </w:r>
      <w:r>
        <w:rPr>
          <w:rFonts w:ascii="Helvetica" w:cs="Helvetica" w:eastAsia="Helvetica" w:hAnsi="Helvetica"/>
          <w:i/>
          <w:iCs/>
          <w:color w:val="888888"/>
          <w:sz w:val="17"/>
          <w:szCs w:val="17"/>
        </w:rPr>
        <w:t xml:space="preserve">  (363 words)</w:t>
      </w:r>
    </w:p>
    <w:p>
      <w:pPr>
        <w:spacing w:after="40" w:before="40"/>
      </w:pPr>
      <w:r>
        <w:rPr>
          <w:rFonts w:ascii="Helvetica" w:cs="Helvetica" w:eastAsia="Helvetica" w:hAnsi="Helvetica"/>
          <w:b/>
          <w:bCs/>
          <w:color w:val="0D1B2A"/>
          <w:sz w:val="19"/>
          <w:szCs w:val="19"/>
        </w:rPr>
        <w:t xml:space="preserve">59. </w:t>
      </w:r>
      <w:r>
        <w:rPr>
          <w:rFonts w:ascii="Times New Roman" w:cs="Times New Roman" w:eastAsia="Times New Roman" w:hAnsi="Times New Roman"/>
          <w:color w:val="2E2E2E"/>
          <w:sz w:val="19"/>
          <w:szCs w:val="19"/>
        </w:rPr>
        <w:t xml:space="preserve">Rain Spreads From Western Japan to Tohoku as Kanto Temperatures Fall</w:t>
      </w:r>
      <w:r>
        <w:rPr>
          <w:rFonts w:ascii="Helvetica" w:cs="Helvetica" w:eastAsia="Helvetica" w:hAnsi="Helvetica"/>
          <w:i/>
          <w:iCs/>
          <w:color w:val="888888"/>
          <w:sz w:val="17"/>
          <w:szCs w:val="17"/>
        </w:rPr>
        <w:t xml:space="preserve">  (443 words)</w:t>
      </w:r>
    </w:p>
    <w:p>
      <w:pPr>
        <w:spacing w:after="40" w:before="40"/>
      </w:pPr>
      <w:r>
        <w:rPr>
          <w:rFonts w:ascii="Helvetica" w:cs="Helvetica" w:eastAsia="Helvetica" w:hAnsi="Helvetica"/>
          <w:b/>
          <w:bCs/>
          <w:color w:val="0D1B2A"/>
          <w:sz w:val="19"/>
          <w:szCs w:val="19"/>
        </w:rPr>
        <w:t xml:space="preserve">60. </w:t>
      </w:r>
      <w:r>
        <w:rPr>
          <w:rFonts w:ascii="Times New Roman" w:cs="Times New Roman" w:eastAsia="Times New Roman" w:hAnsi="Times New Roman"/>
          <w:color w:val="2E2E2E"/>
          <w:sz w:val="19"/>
          <w:szCs w:val="19"/>
        </w:rPr>
        <w:t xml:space="preserve">Cloud and Rain Expected to Persist Through Silver Week</w:t>
      </w:r>
      <w:r>
        <w:rPr>
          <w:rFonts w:ascii="Helvetica" w:cs="Helvetica" w:eastAsia="Helvetica" w:hAnsi="Helvetica"/>
          <w:i/>
          <w:iCs/>
          <w:color w:val="888888"/>
          <w:sz w:val="17"/>
          <w:szCs w:val="17"/>
        </w:rPr>
        <w:t xml:space="preserve">  (352 words)</w:t>
      </w:r>
    </w:p>
    <w:p>
      <w:pPr>
        <w:spacing w:after="40" w:before="40"/>
      </w:pPr>
      <w:r>
        <w:rPr>
          <w:rFonts w:ascii="Helvetica" w:cs="Helvetica" w:eastAsia="Helvetica" w:hAnsi="Helvetica"/>
          <w:b/>
          <w:bCs/>
          <w:color w:val="0D1B2A"/>
          <w:sz w:val="19"/>
          <w:szCs w:val="19"/>
        </w:rPr>
        <w:t xml:space="preserve">61. </w:t>
      </w:r>
      <w:r>
        <w:rPr>
          <w:rFonts w:ascii="Times New Roman" w:cs="Times New Roman" w:eastAsia="Times New Roman" w:hAnsi="Times New Roman"/>
          <w:color w:val="2E2E2E"/>
          <w:sz w:val="19"/>
          <w:szCs w:val="19"/>
        </w:rPr>
        <w:t xml:space="preserve">Dual Insurance Structure Under Strain From Both Ends</w:t>
      </w:r>
      <w:r>
        <w:rPr>
          <w:rFonts w:ascii="Helvetica" w:cs="Helvetica" w:eastAsia="Helvetica" w:hAnsi="Helvetica"/>
          <w:i/>
          <w:iCs/>
          <w:color w:val="888888"/>
          <w:sz w:val="17"/>
          <w:szCs w:val="17"/>
        </w:rPr>
        <w:t xml:space="preserve">  (358 words)</w:t>
      </w:r>
    </w:p>
    <w:p>
      <w:pPr>
        <w:spacing w:after="40" w:before="40"/>
      </w:pPr>
      <w:r>
        <w:rPr>
          <w:rFonts w:ascii="Helvetica" w:cs="Helvetica" w:eastAsia="Helvetica" w:hAnsi="Helvetica"/>
          <w:b/>
          <w:bCs/>
          <w:color w:val="0D1B2A"/>
          <w:sz w:val="19"/>
          <w:szCs w:val="19"/>
        </w:rPr>
        <w:t xml:space="preserve">62. </w:t>
      </w:r>
      <w:r>
        <w:rPr>
          <w:rFonts w:ascii="Times New Roman" w:cs="Times New Roman" w:eastAsia="Times New Roman" w:hAnsi="Times New Roman"/>
          <w:color w:val="2E2E2E"/>
          <w:sz w:val="19"/>
          <w:szCs w:val="19"/>
        </w:rPr>
        <w:t xml:space="preserve">Delivery Model Faces Scrutiny After Yokohama Contamination Figures</w:t>
      </w:r>
      <w:r>
        <w:rPr>
          <w:rFonts w:ascii="Helvetica" w:cs="Helvetica" w:eastAsia="Helvetica" w:hAnsi="Helvetica"/>
          <w:i/>
          <w:iCs/>
          <w:color w:val="888888"/>
          <w:sz w:val="17"/>
          <w:szCs w:val="17"/>
        </w:rPr>
        <w:t xml:space="preserve">  (347 words)</w:t>
      </w:r>
    </w:p>
    <w:p>
      <w:pPr>
        <w:spacing w:after="40" w:before="40"/>
      </w:pPr>
      <w:r>
        <w:rPr>
          <w:rFonts w:ascii="Helvetica" w:cs="Helvetica" w:eastAsia="Helvetica" w:hAnsi="Helvetica"/>
          <w:b/>
          <w:bCs/>
          <w:color w:val="0D1B2A"/>
          <w:sz w:val="19"/>
          <w:szCs w:val="19"/>
        </w:rPr>
        <w:t xml:space="preserve">63. </w:t>
      </w:r>
      <w:r>
        <w:rPr>
          <w:rFonts w:ascii="Times New Roman" w:cs="Times New Roman" w:eastAsia="Times New Roman" w:hAnsi="Times New Roman"/>
          <w:color w:val="2E2E2E"/>
          <w:sz w:val="19"/>
          <w:szCs w:val="19"/>
        </w:rPr>
        <w:t xml:space="preserve">Charging for Rescue Divides Mountain Safety Opinion</w:t>
      </w:r>
      <w:r>
        <w:rPr>
          <w:rFonts w:ascii="Helvetica" w:cs="Helvetica" w:eastAsia="Helvetica" w:hAnsi="Helvetica"/>
          <w:i/>
          <w:iCs/>
          <w:color w:val="888888"/>
          <w:sz w:val="17"/>
          <w:szCs w:val="17"/>
        </w:rPr>
        <w:t xml:space="preserve">  (353 words)</w:t>
      </w:r>
    </w:p>
    <w:p>
      <w:pPr>
        <w:spacing w:after="40" w:before="40"/>
      </w:pPr>
      <w:r>
        <w:rPr>
          <w:rFonts w:ascii="Helvetica" w:cs="Helvetica" w:eastAsia="Helvetica" w:hAnsi="Helvetica"/>
          <w:b/>
          <w:bCs/>
          <w:color w:val="0D1B2A"/>
          <w:sz w:val="19"/>
          <w:szCs w:val="19"/>
        </w:rPr>
        <w:t xml:space="preserve">64. </w:t>
      </w:r>
      <w:r>
        <w:rPr>
          <w:rFonts w:ascii="Times New Roman" w:cs="Times New Roman" w:eastAsia="Times New Roman" w:hAnsi="Times New Roman"/>
          <w:color w:val="2E2E2E"/>
          <w:sz w:val="19"/>
          <w:szCs w:val="19"/>
        </w:rPr>
        <w:t xml:space="preserve">Landslide Risk Rises in Tohoku as Rain Accumulates</w:t>
      </w:r>
      <w:r>
        <w:rPr>
          <w:rFonts w:ascii="Helvetica" w:cs="Helvetica" w:eastAsia="Helvetica" w:hAnsi="Helvetica"/>
          <w:i/>
          <w:iCs/>
          <w:color w:val="888888"/>
          <w:sz w:val="17"/>
          <w:szCs w:val="17"/>
        </w:rPr>
        <w:t xml:space="preserve">  (328 words)</w:t>
      </w:r>
    </w:p>
    <w:p>
      <w:pPr>
        <w:spacing w:after="40" w:before="40"/>
      </w:pPr>
      <w:r>
        <w:rPr>
          <w:rFonts w:ascii="Helvetica" w:cs="Helvetica" w:eastAsia="Helvetica" w:hAnsi="Helvetica"/>
          <w:b/>
          <w:bCs/>
          <w:color w:val="0D1B2A"/>
          <w:sz w:val="19"/>
          <w:szCs w:val="19"/>
        </w:rPr>
        <w:t xml:space="preserve">65. </w:t>
      </w:r>
      <w:r>
        <w:rPr>
          <w:rFonts w:ascii="Times New Roman" w:cs="Times New Roman" w:eastAsia="Times New Roman" w:hAnsi="Times New Roman"/>
          <w:color w:val="2E2E2E"/>
          <w:sz w:val="19"/>
          <w:szCs w:val="19"/>
        </w:rPr>
        <w:t xml:space="preserve">The Nankai Trough, and Why Hamaoka's Seismic Data Carried Such Weight</w:t>
      </w:r>
      <w:r>
        <w:rPr>
          <w:rFonts w:ascii="Helvetica" w:cs="Helvetica" w:eastAsia="Helvetica" w:hAnsi="Helvetica"/>
          <w:i/>
          <w:iCs/>
          <w:color w:val="888888"/>
          <w:sz w:val="17"/>
          <w:szCs w:val="17"/>
        </w:rPr>
        <w:t xml:space="preserve">  (384 words)</w:t>
      </w:r>
    </w:p>
    <w:p>
      <w:pPr>
        <w:spacing w:after="40" w:before="40"/>
      </w:pPr>
      <w:r>
        <w:rPr>
          <w:rFonts w:ascii="Helvetica" w:cs="Helvetica" w:eastAsia="Helvetica" w:hAnsi="Helvetica"/>
          <w:b/>
          <w:bCs/>
          <w:color w:val="0D1B2A"/>
          <w:sz w:val="19"/>
          <w:szCs w:val="19"/>
        </w:rPr>
        <w:t xml:space="preserve">66. </w:t>
      </w:r>
      <w:r>
        <w:rPr>
          <w:rFonts w:ascii="Times New Roman" w:cs="Times New Roman" w:eastAsia="Times New Roman" w:hAnsi="Times New Roman"/>
          <w:color w:val="2E2E2E"/>
          <w:sz w:val="19"/>
          <w:szCs w:val="19"/>
        </w:rPr>
        <w:t xml:space="preserve">How Japan's Five-Tier Disaster Alerts Work</w:t>
      </w:r>
      <w:r>
        <w:rPr>
          <w:rFonts w:ascii="Helvetica" w:cs="Helvetica" w:eastAsia="Helvetica" w:hAnsi="Helvetica"/>
          <w:i/>
          <w:iCs/>
          <w:color w:val="888888"/>
          <w:sz w:val="17"/>
          <w:szCs w:val="17"/>
        </w:rPr>
        <w:t xml:space="preserve">  (363 words)</w:t>
      </w:r>
    </w:p>
    <w:p>
      <w:pPr>
        <w:spacing w:after="40" w:before="40"/>
      </w:pPr>
      <w:r>
        <w:rPr>
          <w:rFonts w:ascii="Helvetica" w:cs="Helvetica" w:eastAsia="Helvetica" w:hAnsi="Helvetica"/>
          <w:b/>
          <w:bCs/>
          <w:color w:val="0D1B2A"/>
          <w:sz w:val="19"/>
          <w:szCs w:val="19"/>
        </w:rPr>
        <w:t xml:space="preserve">67. </w:t>
      </w:r>
      <w:r>
        <w:rPr>
          <w:rFonts w:ascii="Times New Roman" w:cs="Times New Roman" w:eastAsia="Times New Roman" w:hAnsi="Times New Roman"/>
          <w:color w:val="2E2E2E"/>
          <w:sz w:val="19"/>
          <w:szCs w:val="19"/>
        </w:rPr>
        <w:t xml:space="preserve">For Okinawa's Residents, a Change of Governor Changes Little Day to Day</w:t>
      </w:r>
      <w:r>
        <w:rPr>
          <w:rFonts w:ascii="Helvetica" w:cs="Helvetica" w:eastAsia="Helvetica" w:hAnsi="Helvetica"/>
          <w:i/>
          <w:iCs/>
          <w:color w:val="888888"/>
          <w:sz w:val="17"/>
          <w:szCs w:val="17"/>
        </w:rPr>
        <w:t xml:space="preserve">  (330 words)</w:t>
      </w:r>
    </w:p>
    <w:p>
      <w:pPr>
        <w:spacing w:after="80" w:before="200"/>
      </w:pPr>
      <w:r>
        <w:rPr>
          <w:rFonts w:ascii="Helvetica" w:cs="Helvetica" w:eastAsia="Helvetica" w:hAnsi="Helvetica"/>
          <w:b/>
          <w:bCs/>
          <w:color w:val="0D1B2A"/>
          <w:sz w:val="22"/>
          <w:szCs w:val="22"/>
        </w:rPr>
        <w:t xml:space="preserve">SPORTS</w:t>
      </w:r>
    </w:p>
    <w:p>
      <w:pPr>
        <w:spacing w:after="40" w:before="40"/>
      </w:pPr>
      <w:r>
        <w:rPr>
          <w:rFonts w:ascii="Helvetica" w:cs="Helvetica" w:eastAsia="Helvetica" w:hAnsi="Helvetica"/>
          <w:b/>
          <w:bCs/>
          <w:color w:val="0D1B2A"/>
          <w:sz w:val="19"/>
          <w:szCs w:val="19"/>
        </w:rPr>
        <w:t xml:space="preserve">68. </w:t>
      </w:r>
      <w:r>
        <w:rPr>
          <w:rFonts w:ascii="Times New Roman" w:cs="Times New Roman" w:eastAsia="Times New Roman" w:hAnsi="Times New Roman"/>
          <w:color w:val="2E2E2E"/>
          <w:sz w:val="19"/>
          <w:szCs w:val="19"/>
        </w:rPr>
        <w:t xml:space="preserve">Nadeshiko Japan Open Asian Games With 8-0 Win Over Thailand</w:t>
      </w:r>
      <w:r>
        <w:rPr>
          <w:rFonts w:ascii="Helvetica" w:cs="Helvetica" w:eastAsia="Helvetica" w:hAnsi="Helvetica"/>
          <w:i/>
          <w:iCs/>
          <w:color w:val="888888"/>
          <w:sz w:val="17"/>
          <w:szCs w:val="17"/>
        </w:rPr>
        <w:t xml:space="preserve">  (454 words)</w:t>
      </w:r>
    </w:p>
    <w:p>
      <w:pPr>
        <w:spacing w:after="40" w:before="40"/>
      </w:pPr>
      <w:r>
        <w:rPr>
          <w:rFonts w:ascii="Helvetica" w:cs="Helvetica" w:eastAsia="Helvetica" w:hAnsi="Helvetica"/>
          <w:b/>
          <w:bCs/>
          <w:color w:val="0D1B2A"/>
          <w:sz w:val="19"/>
          <w:szCs w:val="19"/>
        </w:rPr>
        <w:t xml:space="preserve">69. </w:t>
      </w:r>
      <w:r>
        <w:rPr>
          <w:rFonts w:ascii="Times New Roman" w:cs="Times New Roman" w:eastAsia="Times New Roman" w:hAnsi="Times New Roman"/>
          <w:color w:val="2E2E2E"/>
          <w:sz w:val="19"/>
          <w:szCs w:val="19"/>
        </w:rPr>
        <w:t xml:space="preserve">Kitaguchi Sets Japanese Javelin Record at 68.92 Metres</w:t>
      </w:r>
      <w:r>
        <w:rPr>
          <w:rFonts w:ascii="Helvetica" w:cs="Helvetica" w:eastAsia="Helvetica" w:hAnsi="Helvetica"/>
          <w:i/>
          <w:iCs/>
          <w:color w:val="888888"/>
          <w:sz w:val="17"/>
          <w:szCs w:val="17"/>
        </w:rPr>
        <w:t xml:space="preserve">  (380 words)</w:t>
      </w:r>
    </w:p>
    <w:p>
      <w:pPr>
        <w:spacing w:after="40" w:before="40"/>
      </w:pPr>
      <w:r>
        <w:rPr>
          <w:rFonts w:ascii="Helvetica" w:cs="Helvetica" w:eastAsia="Helvetica" w:hAnsi="Helvetica"/>
          <w:b/>
          <w:bCs/>
          <w:color w:val="0D1B2A"/>
          <w:sz w:val="19"/>
          <w:szCs w:val="19"/>
        </w:rPr>
        <w:t xml:space="preserve">70. </w:t>
      </w:r>
      <w:r>
        <w:rPr>
          <w:rFonts w:ascii="Times New Roman" w:cs="Times New Roman" w:eastAsia="Times New Roman" w:hAnsi="Times New Roman"/>
          <w:color w:val="2E2E2E"/>
          <w:sz w:val="19"/>
          <w:szCs w:val="19"/>
        </w:rPr>
        <w:t xml:space="preserve">Ohtani to Resume Batting Tuesday as Sasaki Eyes a Return Against the Reds</w:t>
      </w:r>
      <w:r>
        <w:rPr>
          <w:rFonts w:ascii="Helvetica" w:cs="Helvetica" w:eastAsia="Helvetica" w:hAnsi="Helvetica"/>
          <w:i/>
          <w:iCs/>
          <w:color w:val="888888"/>
          <w:sz w:val="17"/>
          <w:szCs w:val="17"/>
        </w:rPr>
        <w:t xml:space="preserve">  (352 words)</w:t>
      </w:r>
    </w:p>
    <w:p>
      <w:pPr>
        <w:spacing w:after="40" w:before="40"/>
      </w:pPr>
      <w:r>
        <w:rPr>
          <w:rFonts w:ascii="Helvetica" w:cs="Helvetica" w:eastAsia="Helvetica" w:hAnsi="Helvetica"/>
          <w:b/>
          <w:bCs/>
          <w:color w:val="0D1B2A"/>
          <w:sz w:val="19"/>
          <w:szCs w:val="19"/>
        </w:rPr>
        <w:t xml:space="preserve">71. </w:t>
      </w:r>
      <w:r>
        <w:rPr>
          <w:rFonts w:ascii="Times New Roman" w:cs="Times New Roman" w:eastAsia="Times New Roman" w:hAnsi="Times New Roman"/>
          <w:color w:val="2E2E2E"/>
          <w:sz w:val="19"/>
          <w:szCs w:val="19"/>
        </w:rPr>
        <w:t xml:space="preserve">Yokozuna and Ozeki All Unbeaten as Aki Basho Continues</w:t>
      </w:r>
      <w:r>
        <w:rPr>
          <w:rFonts w:ascii="Helvetica" w:cs="Helvetica" w:eastAsia="Helvetica" w:hAnsi="Helvetica"/>
          <w:i/>
          <w:iCs/>
          <w:color w:val="888888"/>
          <w:sz w:val="17"/>
          <w:szCs w:val="17"/>
        </w:rPr>
        <w:t xml:space="preserve">  (474 words)</w:t>
      </w:r>
    </w:p>
    <w:p>
      <w:pPr>
        <w:spacing w:after="40" w:before="40"/>
      </w:pPr>
      <w:r>
        <w:rPr>
          <w:rFonts w:ascii="Helvetica" w:cs="Helvetica" w:eastAsia="Helvetica" w:hAnsi="Helvetica"/>
          <w:b/>
          <w:bCs/>
          <w:color w:val="0D1B2A"/>
          <w:sz w:val="19"/>
          <w:szCs w:val="19"/>
        </w:rPr>
        <w:t xml:space="preserve">72. </w:t>
      </w:r>
      <w:r>
        <w:rPr>
          <w:rFonts w:ascii="Times New Roman" w:cs="Times New Roman" w:eastAsia="Times New Roman" w:hAnsi="Times New Roman"/>
          <w:color w:val="2E2E2E"/>
          <w:sz w:val="19"/>
          <w:szCs w:val="19"/>
        </w:rPr>
        <w:t xml:space="preserve">Japan Fall 2-0 to South Korea in U18 Asian Championship Final</w:t>
      </w:r>
      <w:r>
        <w:rPr>
          <w:rFonts w:ascii="Helvetica" w:cs="Helvetica" w:eastAsia="Helvetica" w:hAnsi="Helvetica"/>
          <w:i/>
          <w:iCs/>
          <w:color w:val="888888"/>
          <w:sz w:val="17"/>
          <w:szCs w:val="17"/>
        </w:rPr>
        <w:t xml:space="preserve">  (364 words)</w:t>
      </w:r>
    </w:p>
    <w:p>
      <w:pPr>
        <w:spacing w:after="40" w:before="40"/>
      </w:pPr>
      <w:r>
        <w:rPr>
          <w:rFonts w:ascii="Helvetica" w:cs="Helvetica" w:eastAsia="Helvetica" w:hAnsi="Helvetica"/>
          <w:b/>
          <w:bCs/>
          <w:color w:val="0D1B2A"/>
          <w:sz w:val="19"/>
          <w:szCs w:val="19"/>
        </w:rPr>
        <w:t xml:space="preserve">73. </w:t>
      </w:r>
      <w:r>
        <w:rPr>
          <w:rFonts w:ascii="Times New Roman" w:cs="Times New Roman" w:eastAsia="Times New Roman" w:hAnsi="Times New Roman"/>
          <w:color w:val="2E2E2E"/>
          <w:sz w:val="19"/>
          <w:szCs w:val="19"/>
        </w:rPr>
        <w:t xml:space="preserve">DeNA Walk Off to Reach .500 as Giants Fall Late</w:t>
      </w:r>
      <w:r>
        <w:rPr>
          <w:rFonts w:ascii="Helvetica" w:cs="Helvetica" w:eastAsia="Helvetica" w:hAnsi="Helvetica"/>
          <w:i/>
          <w:iCs/>
          <w:color w:val="888888"/>
          <w:sz w:val="17"/>
          <w:szCs w:val="17"/>
        </w:rPr>
        <w:t xml:space="preserve">  (348 words)</w:t>
      </w:r>
    </w:p>
    <w:p>
      <w:pPr>
        <w:spacing w:after="40" w:before="40"/>
      </w:pPr>
      <w:r>
        <w:rPr>
          <w:rFonts w:ascii="Helvetica" w:cs="Helvetica" w:eastAsia="Helvetica" w:hAnsi="Helvetica"/>
          <w:b/>
          <w:bCs/>
          <w:color w:val="0D1B2A"/>
          <w:sz w:val="19"/>
          <w:szCs w:val="19"/>
        </w:rPr>
        <w:t xml:space="preserve">74. </w:t>
      </w:r>
      <w:r>
        <w:rPr>
          <w:rFonts w:ascii="Times New Roman" w:cs="Times New Roman" w:eastAsia="Times New Roman" w:hAnsi="Times New Roman"/>
          <w:color w:val="2E2E2E"/>
          <w:sz w:val="19"/>
          <w:szCs w:val="19"/>
        </w:rPr>
        <w:t xml:space="preserve">Early Asian Games Results Give Japan Two Markers to Build On</w:t>
      </w:r>
      <w:r>
        <w:rPr>
          <w:rFonts w:ascii="Helvetica" w:cs="Helvetica" w:eastAsia="Helvetica" w:hAnsi="Helvetica"/>
          <w:i/>
          <w:iCs/>
          <w:color w:val="888888"/>
          <w:sz w:val="17"/>
          <w:szCs w:val="17"/>
        </w:rPr>
        <w:t xml:space="preserve">  (334 words)</w:t>
      </w:r>
    </w:p>
    <w:p>
      <w:pPr>
        <w:spacing w:after="40" w:before="40"/>
      </w:pPr>
      <w:r>
        <w:rPr>
          <w:rFonts w:ascii="Helvetica" w:cs="Helvetica" w:eastAsia="Helvetica" w:hAnsi="Helvetica"/>
          <w:b/>
          <w:bCs/>
          <w:color w:val="0D1B2A"/>
          <w:sz w:val="19"/>
          <w:szCs w:val="19"/>
        </w:rPr>
        <w:t xml:space="preserve">75. </w:t>
      </w:r>
      <w:r>
        <w:rPr>
          <w:rFonts w:ascii="Times New Roman" w:cs="Times New Roman" w:eastAsia="Times New Roman" w:hAnsi="Times New Roman"/>
          <w:color w:val="2E2E2E"/>
          <w:sz w:val="19"/>
          <w:szCs w:val="19"/>
        </w:rPr>
        <w:t xml:space="preserve">Volleyball's Asian Title Secures an Eleventh Olympic Appearance</w:t>
      </w:r>
      <w:r>
        <w:rPr>
          <w:rFonts w:ascii="Helvetica" w:cs="Helvetica" w:eastAsia="Helvetica" w:hAnsi="Helvetica"/>
          <w:i/>
          <w:iCs/>
          <w:color w:val="888888"/>
          <w:sz w:val="17"/>
          <w:szCs w:val="17"/>
        </w:rPr>
        <w:t xml:space="preserve">  (315 words)</w:t>
      </w:r>
    </w:p>
    <w:p>
      <w:pPr>
        <w:spacing w:after="40" w:before="40"/>
      </w:pPr>
      <w:r>
        <w:rPr>
          <w:rFonts w:ascii="Helvetica" w:cs="Helvetica" w:eastAsia="Helvetica" w:hAnsi="Helvetica"/>
          <w:b/>
          <w:bCs/>
          <w:color w:val="0D1B2A"/>
          <w:sz w:val="19"/>
          <w:szCs w:val="19"/>
        </w:rPr>
        <w:t xml:space="preserve">76. </w:t>
      </w:r>
      <w:r>
        <w:rPr>
          <w:rFonts w:ascii="Times New Roman" w:cs="Times New Roman" w:eastAsia="Times New Roman" w:hAnsi="Times New Roman"/>
          <w:color w:val="2E2E2E"/>
          <w:sz w:val="19"/>
          <w:szCs w:val="19"/>
        </w:rPr>
        <w:t xml:space="preserve">Central League Run-In Tightens as October Approaches</w:t>
      </w:r>
      <w:r>
        <w:rPr>
          <w:rFonts w:ascii="Helvetica" w:cs="Helvetica" w:eastAsia="Helvetica" w:hAnsi="Helvetica"/>
          <w:i/>
          <w:iCs/>
          <w:color w:val="888888"/>
          <w:sz w:val="17"/>
          <w:szCs w:val="17"/>
        </w:rPr>
        <w:t xml:space="preserve">  (310 words)</w:t>
      </w:r>
    </w:p>
    <w:p>
      <w:pPr>
        <w:spacing w:after="40" w:before="40"/>
      </w:pPr>
      <w:r>
        <w:rPr>
          <w:rFonts w:ascii="Helvetica" w:cs="Helvetica" w:eastAsia="Helvetica" w:hAnsi="Helvetica"/>
          <w:b/>
          <w:bCs/>
          <w:color w:val="0D1B2A"/>
          <w:sz w:val="19"/>
          <w:szCs w:val="19"/>
        </w:rPr>
        <w:t xml:space="preserve">77. </w:t>
      </w:r>
      <w:r>
        <w:rPr>
          <w:rFonts w:ascii="Times New Roman" w:cs="Times New Roman" w:eastAsia="Times New Roman" w:hAnsi="Times New Roman"/>
          <w:color w:val="2E2E2E"/>
          <w:sz w:val="19"/>
          <w:szCs w:val="19"/>
        </w:rPr>
        <w:t xml:space="preserve">Group Stage Opens Japan's Path Through the Football Tournament</w:t>
      </w:r>
      <w:r>
        <w:rPr>
          <w:rFonts w:ascii="Helvetica" w:cs="Helvetica" w:eastAsia="Helvetica" w:hAnsi="Helvetica"/>
          <w:i/>
          <w:iCs/>
          <w:color w:val="888888"/>
          <w:sz w:val="17"/>
          <w:szCs w:val="17"/>
        </w:rPr>
        <w:t xml:space="preserve">  (293 words)</w:t>
      </w:r>
    </w:p>
    <w:p>
      <w:pPr>
        <w:spacing w:after="40" w:before="40"/>
      </w:pPr>
      <w:r>
        <w:rPr>
          <w:rFonts w:ascii="Helvetica" w:cs="Helvetica" w:eastAsia="Helvetica" w:hAnsi="Helvetica"/>
          <w:b/>
          <w:bCs/>
          <w:color w:val="0D1B2A"/>
          <w:sz w:val="19"/>
          <w:szCs w:val="19"/>
        </w:rPr>
        <w:t xml:space="preserve">78. </w:t>
      </w:r>
      <w:r>
        <w:rPr>
          <w:rFonts w:ascii="Times New Roman" w:cs="Times New Roman" w:eastAsia="Times New Roman" w:hAnsi="Times New Roman"/>
          <w:color w:val="2E2E2E"/>
          <w:sz w:val="19"/>
          <w:szCs w:val="19"/>
        </w:rPr>
        <w:t xml:space="preserve">How Sumo's Ranks Rise and Fall</w:t>
      </w:r>
      <w:r>
        <w:rPr>
          <w:rFonts w:ascii="Helvetica" w:cs="Helvetica" w:eastAsia="Helvetica" w:hAnsi="Helvetica"/>
          <w:i/>
          <w:iCs/>
          <w:color w:val="888888"/>
          <w:sz w:val="17"/>
          <w:szCs w:val="17"/>
        </w:rPr>
        <w:t xml:space="preserve">  (376 words)</w:t>
      </w:r>
    </w:p>
    <w:p>
      <w:pPr>
        <w:spacing w:after="40" w:before="40"/>
      </w:pPr>
      <w:r>
        <w:rPr>
          <w:rFonts w:ascii="Helvetica" w:cs="Helvetica" w:eastAsia="Helvetica" w:hAnsi="Helvetica"/>
          <w:b/>
          <w:bCs/>
          <w:color w:val="0D1B2A"/>
          <w:sz w:val="19"/>
          <w:szCs w:val="19"/>
        </w:rPr>
        <w:t xml:space="preserve">79. </w:t>
      </w:r>
      <w:r>
        <w:rPr>
          <w:rFonts w:ascii="Times New Roman" w:cs="Times New Roman" w:eastAsia="Times New Roman" w:hAnsi="Times New Roman"/>
          <w:color w:val="2E2E2E"/>
          <w:sz w:val="19"/>
          <w:szCs w:val="19"/>
        </w:rPr>
        <w:t xml:space="preserve">Judo and Gymnastics Carry Japan's Heaviest Expectations at the Games</w:t>
      </w:r>
      <w:r>
        <w:rPr>
          <w:rFonts w:ascii="Helvetica" w:cs="Helvetica" w:eastAsia="Helvetica" w:hAnsi="Helvetica"/>
          <w:i/>
          <w:iCs/>
          <w:color w:val="888888"/>
          <w:sz w:val="17"/>
          <w:szCs w:val="17"/>
        </w:rPr>
        <w:t xml:space="preserve">  (265 words)</w:t>
      </w:r>
    </w:p>
    <w:p>
      <w:pPr>
        <w:spacing w:after="40" w:before="40"/>
      </w:pPr>
      <w:r>
        <w:rPr>
          <w:rFonts w:ascii="Helvetica" w:cs="Helvetica" w:eastAsia="Helvetica" w:hAnsi="Helvetica"/>
          <w:b/>
          <w:bCs/>
          <w:color w:val="0D1B2A"/>
          <w:sz w:val="19"/>
          <w:szCs w:val="19"/>
        </w:rPr>
        <w:t xml:space="preserve">80. </w:t>
      </w:r>
      <w:r>
        <w:rPr>
          <w:rFonts w:ascii="Times New Roman" w:cs="Times New Roman" w:eastAsia="Times New Roman" w:hAnsi="Times New Roman"/>
          <w:color w:val="2E2E2E"/>
          <w:sz w:val="19"/>
          <w:szCs w:val="19"/>
        </w:rPr>
        <w:t xml:space="preserve">What the Aki Basho's Second Week Will Decide</w:t>
      </w:r>
      <w:r>
        <w:rPr>
          <w:rFonts w:ascii="Helvetica" w:cs="Helvetica" w:eastAsia="Helvetica" w:hAnsi="Helvetica"/>
          <w:i/>
          <w:iCs/>
          <w:color w:val="888888"/>
          <w:sz w:val="17"/>
          <w:szCs w:val="17"/>
        </w:rPr>
        <w:t xml:space="preserve">  (339 words)</w:t>
      </w:r>
    </w:p>
    <w:p>
      <w:pPr>
        <w:spacing w:after="40" w:before="40"/>
      </w:pPr>
      <w:r>
        <w:rPr>
          <w:rFonts w:ascii="Helvetica" w:cs="Helvetica" w:eastAsia="Helvetica" w:hAnsi="Helvetica"/>
          <w:b/>
          <w:bCs/>
          <w:color w:val="0D1B2A"/>
          <w:sz w:val="19"/>
          <w:szCs w:val="19"/>
        </w:rPr>
        <w:t xml:space="preserve">81. </w:t>
      </w:r>
      <w:r>
        <w:rPr>
          <w:rFonts w:ascii="Times New Roman" w:cs="Times New Roman" w:eastAsia="Times New Roman" w:hAnsi="Times New Roman"/>
          <w:color w:val="2E2E2E"/>
          <w:sz w:val="19"/>
          <w:szCs w:val="19"/>
        </w:rPr>
        <w:t xml:space="preserve">Running a Games Across a Region: Aichi-Nagoya's Logistics Test</w:t>
      </w:r>
      <w:r>
        <w:rPr>
          <w:rFonts w:ascii="Helvetica" w:cs="Helvetica" w:eastAsia="Helvetica" w:hAnsi="Helvetica"/>
          <w:i/>
          <w:iCs/>
          <w:color w:val="888888"/>
          <w:sz w:val="17"/>
          <w:szCs w:val="17"/>
        </w:rPr>
        <w:t xml:space="preserve">  (304 words)</w:t>
      </w:r>
    </w:p>
    <w:p>
      <w:pPr>
        <w:spacing w:after="80" w:before="200"/>
      </w:pPr>
      <w:r>
        <w:rPr>
          <w:rFonts w:ascii="Helvetica" w:cs="Helvetica" w:eastAsia="Helvetica" w:hAnsi="Helvetica"/>
          <w:b/>
          <w:bCs/>
          <w:color w:val="0D1B2A"/>
          <w:sz w:val="22"/>
          <w:szCs w:val="22"/>
        </w:rPr>
        <w:t xml:space="preserve">TECHNOLOGY</w:t>
      </w:r>
    </w:p>
    <w:p>
      <w:pPr>
        <w:spacing w:after="40" w:before="40"/>
      </w:pPr>
      <w:r>
        <w:rPr>
          <w:rFonts w:ascii="Helvetica" w:cs="Helvetica" w:eastAsia="Helvetica" w:hAnsi="Helvetica"/>
          <w:b/>
          <w:bCs/>
          <w:color w:val="0D1B2A"/>
          <w:sz w:val="19"/>
          <w:szCs w:val="19"/>
        </w:rPr>
        <w:t xml:space="preserve">82. </w:t>
      </w:r>
      <w:r>
        <w:rPr>
          <w:rFonts w:ascii="Times New Roman" w:cs="Times New Roman" w:eastAsia="Times New Roman" w:hAnsi="Times New Roman"/>
          <w:color w:val="2E2E2E"/>
          <w:sz w:val="19"/>
          <w:szCs w:val="19"/>
        </w:rPr>
        <w:t xml:space="preserve">Anthropic Chief Joins Call to Slow AI Development, Citing Self-Improvement Risk</w:t>
      </w:r>
      <w:r>
        <w:rPr>
          <w:rFonts w:ascii="Helvetica" w:cs="Helvetica" w:eastAsia="Helvetica" w:hAnsi="Helvetica"/>
          <w:i/>
          <w:iCs/>
          <w:color w:val="888888"/>
          <w:sz w:val="17"/>
          <w:szCs w:val="17"/>
        </w:rPr>
        <w:t xml:space="preserve">  (640 words)</w:t>
      </w:r>
    </w:p>
    <w:p>
      <w:pPr>
        <w:spacing w:after="40" w:before="40"/>
      </w:pPr>
      <w:r>
        <w:rPr>
          <w:rFonts w:ascii="Helvetica" w:cs="Helvetica" w:eastAsia="Helvetica" w:hAnsi="Helvetica"/>
          <w:b/>
          <w:bCs/>
          <w:color w:val="0D1B2A"/>
          <w:sz w:val="19"/>
          <w:szCs w:val="19"/>
        </w:rPr>
        <w:t xml:space="preserve">83. </w:t>
      </w:r>
      <w:r>
        <w:rPr>
          <w:rFonts w:ascii="Times New Roman" w:cs="Times New Roman" w:eastAsia="Times New Roman" w:hAnsi="Times New Roman"/>
          <w:color w:val="2E2E2E"/>
          <w:sz w:val="19"/>
          <w:szCs w:val="19"/>
        </w:rPr>
        <w:t xml:space="preserve">Tokyo University of Science and MIT Sign Cooperation Agreement</w:t>
      </w:r>
      <w:r>
        <w:rPr>
          <w:rFonts w:ascii="Helvetica" w:cs="Helvetica" w:eastAsia="Helvetica" w:hAnsi="Helvetica"/>
          <w:i/>
          <w:iCs/>
          <w:color w:val="888888"/>
          <w:sz w:val="17"/>
          <w:szCs w:val="17"/>
        </w:rPr>
        <w:t xml:space="preserve">  (353 words)</w:t>
      </w:r>
    </w:p>
    <w:p>
      <w:pPr>
        <w:spacing w:after="40" w:before="40"/>
      </w:pPr>
      <w:r>
        <w:rPr>
          <w:rFonts w:ascii="Helvetica" w:cs="Helvetica" w:eastAsia="Helvetica" w:hAnsi="Helvetica"/>
          <w:b/>
          <w:bCs/>
          <w:color w:val="0D1B2A"/>
          <w:sz w:val="19"/>
          <w:szCs w:val="19"/>
        </w:rPr>
        <w:t xml:space="preserve">84. </w:t>
      </w:r>
      <w:r>
        <w:rPr>
          <w:rFonts w:ascii="Times New Roman" w:cs="Times New Roman" w:eastAsia="Times New Roman" w:hAnsi="Times New Roman"/>
          <w:color w:val="2E2E2E"/>
          <w:sz w:val="19"/>
          <w:szCs w:val="19"/>
        </w:rPr>
        <w:t xml:space="preserve">Japan's Light-Touch AI Stance Meets a Slowdown Call From the Frontier</w:t>
      </w:r>
      <w:r>
        <w:rPr>
          <w:rFonts w:ascii="Helvetica" w:cs="Helvetica" w:eastAsia="Helvetica" w:hAnsi="Helvetica"/>
          <w:i/>
          <w:iCs/>
          <w:color w:val="888888"/>
          <w:sz w:val="17"/>
          <w:szCs w:val="17"/>
        </w:rPr>
        <w:t xml:space="preserve">  (367 words)</w:t>
      </w:r>
    </w:p>
    <w:p>
      <w:pPr>
        <w:spacing w:after="80" w:before="200"/>
      </w:pPr>
      <w:r>
        <w:rPr>
          <w:rFonts w:ascii="Helvetica" w:cs="Helvetica" w:eastAsia="Helvetica" w:hAnsi="Helvetica"/>
          <w:b/>
          <w:bCs/>
          <w:color w:val="0D1B2A"/>
          <w:sz w:val="22"/>
          <w:szCs w:val="22"/>
        </w:rPr>
        <w:t xml:space="preserve">CULTURE</w:t>
      </w:r>
    </w:p>
    <w:p>
      <w:pPr>
        <w:spacing w:after="40" w:before="40"/>
      </w:pPr>
      <w:r>
        <w:rPr>
          <w:rFonts w:ascii="Helvetica" w:cs="Helvetica" w:eastAsia="Helvetica" w:hAnsi="Helvetica"/>
          <w:b/>
          <w:bCs/>
          <w:color w:val="0D1B2A"/>
          <w:sz w:val="19"/>
          <w:szCs w:val="19"/>
        </w:rPr>
        <w:t xml:space="preserve">85. </w:t>
      </w:r>
      <w:r>
        <w:rPr>
          <w:rFonts w:ascii="Times New Roman" w:cs="Times New Roman" w:eastAsia="Times New Roman" w:hAnsi="Times New Roman"/>
          <w:color w:val="2E2E2E"/>
          <w:sz w:val="19"/>
          <w:szCs w:val="19"/>
        </w:rPr>
        <w:t xml:space="preserve">Actress Yuri Nakamura Dies at 44</w:t>
      </w:r>
      <w:r>
        <w:rPr>
          <w:rFonts w:ascii="Helvetica" w:cs="Helvetica" w:eastAsia="Helvetica" w:hAnsi="Helvetica"/>
          <w:i/>
          <w:iCs/>
          <w:color w:val="888888"/>
          <w:sz w:val="17"/>
          <w:szCs w:val="17"/>
        </w:rPr>
        <w:t xml:space="preserve">  (322 words)</w:t>
      </w:r>
    </w:p>
    <w:p>
      <w:pPr>
        <w:spacing w:after="40" w:before="40"/>
      </w:pPr>
      <w:r>
        <w:rPr>
          <w:rFonts w:ascii="Helvetica" w:cs="Helvetica" w:eastAsia="Helvetica" w:hAnsi="Helvetica"/>
          <w:b/>
          <w:bCs/>
          <w:color w:val="0D1B2A"/>
          <w:sz w:val="19"/>
          <w:szCs w:val="19"/>
        </w:rPr>
        <w:t xml:space="preserve">86. </w:t>
      </w:r>
      <w:r>
        <w:rPr>
          <w:rFonts w:ascii="Times New Roman" w:cs="Times New Roman" w:eastAsia="Times New Roman" w:hAnsi="Times New Roman"/>
          <w:color w:val="2E2E2E"/>
          <w:sz w:val="19"/>
          <w:szCs w:val="19"/>
        </w:rPr>
        <w:t xml:space="preserve">Pokémon Marks 30 Years With a Ball-Shaped Hotel in Tomakomai</w:t>
      </w:r>
      <w:r>
        <w:rPr>
          <w:rFonts w:ascii="Helvetica" w:cs="Helvetica" w:eastAsia="Helvetica" w:hAnsi="Helvetica"/>
          <w:i/>
          <w:iCs/>
          <w:color w:val="888888"/>
          <w:sz w:val="17"/>
          <w:szCs w:val="17"/>
        </w:rPr>
        <w:t xml:space="preserve">  (422 words)</w:t>
      </w:r>
    </w:p>
    <w:p>
      <w:pPr>
        <w:spacing w:after="40" w:before="40"/>
      </w:pPr>
      <w:r>
        <w:rPr>
          <w:rFonts w:ascii="Helvetica" w:cs="Helvetica" w:eastAsia="Helvetica" w:hAnsi="Helvetica"/>
          <w:b/>
          <w:bCs/>
          <w:color w:val="0D1B2A"/>
          <w:sz w:val="19"/>
          <w:szCs w:val="19"/>
        </w:rPr>
        <w:t xml:space="preserve">87. </w:t>
      </w:r>
      <w:r>
        <w:rPr>
          <w:rFonts w:ascii="Times New Roman" w:cs="Times New Roman" w:eastAsia="Times New Roman" w:hAnsi="Times New Roman"/>
          <w:color w:val="2E2E2E"/>
          <w:sz w:val="19"/>
          <w:szCs w:val="19"/>
        </w:rPr>
        <w:t xml:space="preserve">High School Philosophy Club's Series Published as a Book</w:t>
      </w:r>
      <w:r>
        <w:rPr>
          <w:rFonts w:ascii="Helvetica" w:cs="Helvetica" w:eastAsia="Helvetica" w:hAnsi="Helvetica"/>
          <w:i/>
          <w:iCs/>
          <w:color w:val="888888"/>
          <w:sz w:val="17"/>
          <w:szCs w:val="17"/>
        </w:rPr>
        <w:t xml:space="preserve">  (349 words)</w:t>
      </w:r>
    </w:p>
    <w:p>
      <w:pPr>
        <w:spacing w:after="40" w:before="40"/>
      </w:pPr>
      <w:r>
        <w:rPr>
          <w:rFonts w:ascii="Helvetica" w:cs="Helvetica" w:eastAsia="Helvetica" w:hAnsi="Helvetica"/>
          <w:b/>
          <w:bCs/>
          <w:color w:val="0D1B2A"/>
          <w:sz w:val="19"/>
          <w:szCs w:val="19"/>
        </w:rPr>
        <w:t xml:space="preserve">88. </w:t>
      </w:r>
      <w:r>
        <w:rPr>
          <w:rFonts w:ascii="Times New Roman" w:cs="Times New Roman" w:eastAsia="Times New Roman" w:hAnsi="Times New Roman"/>
          <w:color w:val="2E2E2E"/>
          <w:sz w:val="19"/>
          <w:szCs w:val="19"/>
        </w:rPr>
        <w:t xml:space="preserve">Thirty Years On, Pokémon Remains Japan's Most Durable Cultural Export</w:t>
      </w:r>
      <w:r>
        <w:rPr>
          <w:rFonts w:ascii="Helvetica" w:cs="Helvetica" w:eastAsia="Helvetica" w:hAnsi="Helvetica"/>
          <w:i/>
          <w:iCs/>
          <w:color w:val="888888"/>
          <w:sz w:val="17"/>
          <w:szCs w:val="17"/>
        </w:rPr>
        <w:t xml:space="preserve">  (365 words)</w:t>
      </w:r>
    </w:p>
    <w:p>
      <w:pPr>
        <w:spacing w:after="40" w:before="40"/>
      </w:pPr>
      <w:r>
        <w:rPr>
          <w:rFonts w:ascii="Helvetica" w:cs="Helvetica" w:eastAsia="Helvetica" w:hAnsi="Helvetica"/>
          <w:b/>
          <w:bCs/>
          <w:color w:val="0D1B2A"/>
          <w:sz w:val="19"/>
          <w:szCs w:val="19"/>
        </w:rPr>
        <w:t xml:space="preserve">89. </w:t>
      </w:r>
      <w:r>
        <w:rPr>
          <w:rFonts w:ascii="Times New Roman" w:cs="Times New Roman" w:eastAsia="Times New Roman" w:hAnsi="Times New Roman"/>
          <w:color w:val="2E2E2E"/>
          <w:sz w:val="19"/>
          <w:szCs w:val="19"/>
        </w:rPr>
        <w:t xml:space="preserve">Tomakomai Hotel Fits a Hokkaido Push for Year-Round Visitors</w:t>
      </w:r>
      <w:r>
        <w:rPr>
          <w:rFonts w:ascii="Helvetica" w:cs="Helvetica" w:eastAsia="Helvetica" w:hAnsi="Helvetica"/>
          <w:i/>
          <w:iCs/>
          <w:color w:val="888888"/>
          <w:sz w:val="17"/>
          <w:szCs w:val="17"/>
        </w:rPr>
        <w:t xml:space="preserve">  (300 words)</w:t>
      </w:r>
    </w:p>
    <w:p>
      <w:pPr>
        <w:spacing w:after="40" w:before="40"/>
      </w:pPr>
      <w:r>
        <w:rPr>
          <w:rFonts w:ascii="Helvetica" w:cs="Helvetica" w:eastAsia="Helvetica" w:hAnsi="Helvetica"/>
          <w:b/>
          <w:bCs/>
          <w:color w:val="0D1B2A"/>
          <w:sz w:val="19"/>
          <w:szCs w:val="19"/>
        </w:rPr>
        <w:t xml:space="preserve">90. </w:t>
      </w:r>
      <w:r>
        <w:rPr>
          <w:rFonts w:ascii="Times New Roman" w:cs="Times New Roman" w:eastAsia="Times New Roman" w:hAnsi="Times New Roman"/>
          <w:color w:val="2E2E2E"/>
          <w:sz w:val="19"/>
          <w:szCs w:val="19"/>
        </w:rPr>
        <w:t xml:space="preserve">Why a Kabuki Actor Carried the Asian Games Torch</w:t>
      </w:r>
      <w:r>
        <w:rPr>
          <w:rFonts w:ascii="Helvetica" w:cs="Helvetica" w:eastAsia="Helvetica" w:hAnsi="Helvetica"/>
          <w:i/>
          <w:iCs/>
          <w:color w:val="888888"/>
          <w:sz w:val="17"/>
          <w:szCs w:val="17"/>
        </w:rPr>
        <w:t xml:space="preserve">  (329 words)</w:t>
      </w:r>
    </w:p>
    <w:p>
      <w:pPr>
        <w:spacing w:after="40" w:before="40"/>
      </w:pPr>
      <w:r>
        <w:rPr>
          <w:rFonts w:ascii="Helvetica" w:cs="Helvetica" w:eastAsia="Helvetica" w:hAnsi="Helvetica"/>
          <w:b/>
          <w:bCs/>
          <w:color w:val="0D1B2A"/>
          <w:sz w:val="19"/>
          <w:szCs w:val="19"/>
        </w:rPr>
        <w:t xml:space="preserve">91. </w:t>
      </w:r>
      <w:r>
        <w:rPr>
          <w:rFonts w:ascii="Times New Roman" w:cs="Times New Roman" w:eastAsia="Times New Roman" w:hAnsi="Times New Roman"/>
          <w:color w:val="2E2E2E"/>
          <w:sz w:val="19"/>
          <w:szCs w:val="19"/>
        </w:rPr>
        <w:t xml:space="preserve">Higan: The Equinox Week and Its Customs</w:t>
      </w:r>
      <w:r>
        <w:rPr>
          <w:rFonts w:ascii="Helvetica" w:cs="Helvetica" w:eastAsia="Helvetica" w:hAnsi="Helvetica"/>
          <w:i/>
          <w:iCs/>
          <w:color w:val="888888"/>
          <w:sz w:val="17"/>
          <w:szCs w:val="17"/>
        </w:rPr>
        <w:t xml:space="preserve">  (364 words)</w:t>
      </w:r>
    </w:p>
    <w:p>
      <w:pPr>
        <w:spacing w:after="80" w:before="200"/>
      </w:pPr>
      <w:r>
        <w:rPr>
          <w:rFonts w:ascii="Helvetica" w:cs="Helvetica" w:eastAsia="Helvetica" w:hAnsi="Helvetica"/>
          <w:b/>
          <w:bCs/>
          <w:color w:val="0D1B2A"/>
          <w:sz w:val="22"/>
          <w:szCs w:val="22"/>
        </w:rPr>
        <w:t xml:space="preserve">EDITORIAL &amp; OPINION</w:t>
      </w:r>
    </w:p>
    <w:p>
      <w:pPr>
        <w:spacing w:after="40" w:before="40"/>
      </w:pPr>
      <w:r>
        <w:rPr>
          <w:rFonts w:ascii="Helvetica" w:cs="Helvetica" w:eastAsia="Helvetica" w:hAnsi="Helvetica"/>
          <w:b/>
          <w:bCs/>
          <w:color w:val="0D1B2A"/>
          <w:sz w:val="19"/>
          <w:szCs w:val="19"/>
        </w:rPr>
        <w:t xml:space="preserve">92. </w:t>
      </w:r>
      <w:r>
        <w:rPr>
          <w:rFonts w:ascii="Times New Roman" w:cs="Times New Roman" w:eastAsia="Times New Roman" w:hAnsi="Times New Roman"/>
          <w:color w:val="2E2E2E"/>
          <w:sz w:val="19"/>
          <w:szCs w:val="19"/>
        </w:rPr>
        <w:t xml:space="preserve">They Seized the Photograph. They Did Not Seize the Ocean.</w:t>
      </w:r>
      <w:r>
        <w:rPr>
          <w:rFonts w:ascii="Helvetica" w:cs="Helvetica" w:eastAsia="Helvetica" w:hAnsi="Helvetica"/>
          <w:i/>
          <w:iCs/>
          <w:color w:val="888888"/>
          <w:sz w:val="17"/>
          <w:szCs w:val="17"/>
        </w:rPr>
        <w:t xml:space="preserve">  (2,816 words)</w:t>
      </w:r>
    </w:p>
    <w:p>
      <w:pPr>
        <w:pBdr>
          <w:top w:val="double" w:color="0D1B2A" w:sz="6"/>
        </w:pBdr>
        <w:spacing w:after="200" w:before="300"/>
        <w:jc w:val="center"/>
      </w:pPr>
      <w:r>
        <w:rPr>
          <w:rFonts w:ascii="Helvetica" w:cs="Helvetica" w:eastAsia="Helvetica" w:hAnsi="Helvetica"/>
          <w:b/>
          <w:bCs/>
          <w:color w:val="9B1B2A"/>
          <w:sz w:val="22"/>
          <w:szCs w:val="22"/>
        </w:rPr>
        <w:t xml:space="preserve">Total: 92 articles, 38,320 words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Helvetica" w:cs="Helvetica" w:eastAsia="Helvetica" w:hAnsi="Helvetica"/>
        <w:color w:val="888888"/>
        <w:sz w:val="14"/>
        <w:szCs w:val="14"/>
      </w:rPr>
      <w:t xml:space="preserve">Page </w:t>
    </w:r>
    <w:r>
      <w:rPr>
        <w:rFonts w:ascii="Helvetica" w:cs="Helvetica" w:eastAsia="Helvetica" w:hAnsi="Helvetica"/>
        <w:color w:val="88888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Helvetica" w:cs="Helvetica" w:eastAsia="Helvetica" w:hAnsi="Helvetica"/>
        <w:color w:val="888888"/>
        <w:sz w:val="14"/>
        <w:szCs w:val="14"/>
      </w:rPr>
      <w:t xml:space="preserve">THE JAPAN MORNING POST — SEPTEMBER 10,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ca3838aa145f19d3584306b5d981747a565544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Japan Morning Post — Tuesday, September 15, 2026</dc:title>
  <dc:creator>WPM Productions</dc:creator>
  <dc:description>Volume 2026 Number 257 — Full DOCX Edition for In-House Editing</dc:description>
  <cp:lastModifiedBy>Un-named</cp:lastModifiedBy>
  <cp:revision>1</cp:revision>
  <dcterms:created xsi:type="dcterms:W3CDTF">2026-09-15T03:03:42.564Z</dcterms:created>
  <dcterms:modified xsi:type="dcterms:W3CDTF">2026-09-15T03:03:42.564Z</dcterms:modified>
</cp:coreProperties>
</file>

<file path=docProps/custom.xml><?xml version="1.0" encoding="utf-8"?>
<Properties xmlns="http://schemas.openxmlformats.org/officeDocument/2006/custom-properties" xmlns:vt="http://schemas.openxmlformats.org/officeDocument/2006/docPropsVTypes"/>
</file>